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BC121D" w14:paraId="3F049A14" w14:textId="77777777" w:rsidTr="004C1953">
        <w:trPr>
          <w:trHeight w:val="612"/>
        </w:trPr>
        <w:tc>
          <w:tcPr>
            <w:tcW w:w="9924" w:type="dxa"/>
          </w:tcPr>
          <w:p w14:paraId="2B35838E" w14:textId="77777777" w:rsidR="00BC121D" w:rsidRPr="00C206B7" w:rsidRDefault="00BC121D" w:rsidP="00287E7F">
            <w:pPr>
              <w:pStyle w:val="Header"/>
              <w:jc w:val="center"/>
              <w:rPr>
                <w:rFonts w:ascii="Arial" w:hAnsi="Arial" w:cs="Arial"/>
                <w:noProof/>
                <w:spacing w:val="20"/>
                <w:sz w:val="32"/>
                <w:szCs w:val="32"/>
                <w:lang w:eastAsia="fr-FR"/>
              </w:rPr>
            </w:pPr>
            <w:bookmarkStart w:id="0" w:name="_MacBuGuideStaticData_2545V"/>
            <w:r w:rsidRPr="00C206B7">
              <w:rPr>
                <w:rFonts w:ascii="Arial" w:hAnsi="Arial" w:cs="Arial"/>
                <w:spacing w:val="20"/>
                <w:sz w:val="32"/>
                <w:szCs w:val="32"/>
              </w:rPr>
              <w:t>PRESS RELEASE</w:t>
            </w:r>
          </w:p>
        </w:tc>
      </w:tr>
    </w:tbl>
    <w:p w14:paraId="2E97D3A6" w14:textId="77777777" w:rsidR="004C1953" w:rsidRDefault="004C1953" w:rsidP="0096652F">
      <w:pPr>
        <w:spacing w:after="0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223E33" wp14:editId="16B8F96E">
                <wp:simplePos x="0" y="0"/>
                <wp:positionH relativeFrom="column">
                  <wp:posOffset>-195580</wp:posOffset>
                </wp:positionH>
                <wp:positionV relativeFrom="paragraph">
                  <wp:posOffset>30480</wp:posOffset>
                </wp:positionV>
                <wp:extent cx="6292850" cy="12700"/>
                <wp:effectExtent l="38100" t="38100" r="69850" b="825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E7E22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2.4pt" to="480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19F4DBE" w14:textId="77777777" w:rsidR="008719FD" w:rsidRDefault="008719FD" w:rsidP="0096652F">
      <w:pPr>
        <w:spacing w:after="0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27761B9C" w14:textId="1863998C" w:rsidR="004058FB" w:rsidRPr="006B7ACE" w:rsidRDefault="00600138" w:rsidP="0096652F">
      <w:pPr>
        <w:spacing w:after="0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The pharmaceutical</w:t>
      </w:r>
      <w:r w:rsidR="008C1BDA" w:rsidRPr="000762D9">
        <w:rPr>
          <w:rFonts w:ascii="Arial" w:hAnsi="Arial" w:cs="Arial"/>
          <w:b/>
          <w:sz w:val="28"/>
          <w:szCs w:val="28"/>
          <w:lang w:val="en-US"/>
        </w:rPr>
        <w:t xml:space="preserve"> market i</w:t>
      </w:r>
      <w:r w:rsidR="00A31DAB" w:rsidRPr="000762D9">
        <w:rPr>
          <w:rFonts w:ascii="Arial" w:hAnsi="Arial" w:cs="Arial"/>
          <w:b/>
          <w:sz w:val="28"/>
          <w:szCs w:val="28"/>
          <w:lang w:val="en-US"/>
        </w:rPr>
        <w:t xml:space="preserve">n </w:t>
      </w:r>
      <w:r w:rsidR="008C1BDA" w:rsidRPr="000762D9">
        <w:rPr>
          <w:rFonts w:ascii="Arial" w:hAnsi="Arial" w:cs="Arial"/>
          <w:b/>
          <w:sz w:val="28"/>
          <w:szCs w:val="28"/>
          <w:lang w:val="en-US"/>
        </w:rPr>
        <w:t xml:space="preserve">the </w:t>
      </w:r>
      <w:r w:rsidR="00484312">
        <w:rPr>
          <w:rFonts w:ascii="Arial" w:hAnsi="Arial" w:cs="Arial"/>
          <w:b/>
          <w:sz w:val="28"/>
          <w:szCs w:val="28"/>
          <w:lang w:val="en-US"/>
        </w:rPr>
        <w:t>2</w:t>
      </w:r>
      <w:r w:rsidR="00484312" w:rsidRPr="00484312">
        <w:rPr>
          <w:rFonts w:ascii="Arial" w:hAnsi="Arial" w:cs="Arial"/>
          <w:b/>
          <w:sz w:val="28"/>
          <w:szCs w:val="28"/>
          <w:vertAlign w:val="superscript"/>
          <w:lang w:val="en-US"/>
        </w:rPr>
        <w:t>nd</w:t>
      </w:r>
      <w:r w:rsidR="0048431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03D6B" w:rsidRPr="00D03D6B">
        <w:rPr>
          <w:rFonts w:ascii="Arial" w:hAnsi="Arial" w:cs="Arial"/>
          <w:b/>
          <w:sz w:val="28"/>
          <w:szCs w:val="28"/>
          <w:lang w:val="en-US"/>
        </w:rPr>
        <w:t>Quarter</w:t>
      </w:r>
      <w:r w:rsidR="008C1BDA" w:rsidRPr="000762D9">
        <w:rPr>
          <w:rFonts w:ascii="Arial" w:hAnsi="Arial" w:cs="Arial"/>
          <w:b/>
          <w:sz w:val="28"/>
          <w:szCs w:val="28"/>
          <w:lang w:val="en-US"/>
        </w:rPr>
        <w:t xml:space="preserve"> of </w:t>
      </w:r>
      <w:r w:rsidR="00055E63" w:rsidRPr="000762D9">
        <w:rPr>
          <w:rFonts w:ascii="Arial" w:hAnsi="Arial" w:cs="Arial"/>
          <w:b/>
          <w:sz w:val="28"/>
          <w:szCs w:val="28"/>
          <w:lang w:val="en-US"/>
        </w:rPr>
        <w:t>20</w:t>
      </w:r>
      <w:r w:rsidR="00275798">
        <w:rPr>
          <w:rFonts w:ascii="Arial" w:hAnsi="Arial" w:cs="Arial"/>
          <w:b/>
          <w:sz w:val="28"/>
          <w:szCs w:val="28"/>
          <w:lang w:val="en-US"/>
        </w:rPr>
        <w:t>2</w:t>
      </w:r>
      <w:r w:rsidR="00660E61">
        <w:rPr>
          <w:rFonts w:ascii="Arial" w:hAnsi="Arial" w:cs="Arial"/>
          <w:b/>
          <w:sz w:val="28"/>
          <w:szCs w:val="28"/>
          <w:lang w:val="en-US"/>
        </w:rPr>
        <w:t>5</w:t>
      </w:r>
      <w:r w:rsidR="009F087D" w:rsidRPr="000762D9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</w:p>
    <w:p w14:paraId="790E023D" w14:textId="77777777" w:rsidR="0096652F" w:rsidRPr="000762D9" w:rsidRDefault="0096652F" w:rsidP="0096652F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978E4CF" w14:textId="4FBF4467" w:rsidR="004058FB" w:rsidRPr="00291880" w:rsidRDefault="008C1BDA" w:rsidP="0096652F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  <w:r w:rsidRPr="000762D9">
        <w:rPr>
          <w:rFonts w:ascii="Arial" w:hAnsi="Arial" w:cs="Arial"/>
          <w:sz w:val="20"/>
          <w:szCs w:val="20"/>
          <w:lang w:val="en-US"/>
        </w:rPr>
        <w:t>Bucharest,</w:t>
      </w:r>
      <w:r w:rsidR="00E6508B">
        <w:rPr>
          <w:rFonts w:ascii="Arial" w:hAnsi="Arial" w:cs="Arial"/>
          <w:sz w:val="20"/>
          <w:szCs w:val="20"/>
          <w:lang w:val="en-US"/>
        </w:rPr>
        <w:t xml:space="preserve"> </w:t>
      </w:r>
      <w:r w:rsidR="0058347E">
        <w:rPr>
          <w:rFonts w:ascii="Arial" w:hAnsi="Arial" w:cs="Arial"/>
          <w:sz w:val="20"/>
          <w:szCs w:val="20"/>
          <w:lang w:val="en-US"/>
        </w:rPr>
        <w:t xml:space="preserve">August </w:t>
      </w:r>
      <w:r w:rsidR="00925E93">
        <w:rPr>
          <w:rFonts w:ascii="Arial" w:hAnsi="Arial" w:cs="Arial"/>
          <w:sz w:val="20"/>
          <w:szCs w:val="20"/>
          <w:lang w:val="en-US"/>
        </w:rPr>
        <w:t>7</w:t>
      </w:r>
      <w:r w:rsidR="0058347E" w:rsidRPr="0058347E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C21208">
        <w:rPr>
          <w:rFonts w:ascii="Arial" w:hAnsi="Arial" w:cs="Arial"/>
          <w:sz w:val="20"/>
          <w:szCs w:val="20"/>
          <w:lang w:val="en-US"/>
        </w:rPr>
        <w:t>,</w:t>
      </w:r>
      <w:r w:rsidR="003500AF">
        <w:rPr>
          <w:rFonts w:ascii="Arial" w:hAnsi="Arial" w:cs="Arial"/>
          <w:sz w:val="20"/>
          <w:szCs w:val="20"/>
          <w:lang w:val="ro-RO"/>
        </w:rPr>
        <w:t xml:space="preserve"> </w:t>
      </w:r>
      <w:r w:rsidR="00B77982" w:rsidRPr="000762D9">
        <w:rPr>
          <w:rFonts w:ascii="Arial" w:hAnsi="Arial" w:cs="Arial"/>
          <w:sz w:val="20"/>
          <w:szCs w:val="20"/>
          <w:lang w:val="en-US"/>
        </w:rPr>
        <w:t>20</w:t>
      </w:r>
      <w:r w:rsidR="00275798">
        <w:rPr>
          <w:rFonts w:ascii="Arial" w:hAnsi="Arial" w:cs="Arial"/>
          <w:sz w:val="20"/>
          <w:szCs w:val="20"/>
          <w:lang w:val="en-US"/>
        </w:rPr>
        <w:t>2</w:t>
      </w:r>
      <w:r w:rsidR="00C21208">
        <w:rPr>
          <w:rFonts w:ascii="Arial" w:hAnsi="Arial" w:cs="Arial"/>
          <w:sz w:val="20"/>
          <w:szCs w:val="20"/>
          <w:lang w:val="en-US"/>
        </w:rPr>
        <w:t>4</w:t>
      </w:r>
      <w:r w:rsidR="004058FB" w:rsidRPr="000762D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DEE9C6A" w14:textId="77777777" w:rsidR="004058FB" w:rsidRPr="000762D9" w:rsidRDefault="004058FB" w:rsidP="0096652F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769E3FB4" w14:textId="7B263CB3" w:rsidR="00733F70" w:rsidRDefault="0061719B" w:rsidP="00587C93">
      <w:pPr>
        <w:pStyle w:val="Default"/>
        <w:jc w:val="both"/>
        <w:rPr>
          <w:b/>
          <w:sz w:val="20"/>
          <w:szCs w:val="20"/>
          <w:lang w:val="en-US"/>
        </w:rPr>
      </w:pPr>
      <w:r w:rsidRPr="0061719B">
        <w:rPr>
          <w:b/>
          <w:sz w:val="20"/>
          <w:szCs w:val="20"/>
          <w:lang w:val="en-US"/>
        </w:rPr>
        <w:t xml:space="preserve">Based on the findings of the Pharma &amp; Hospital Report, </w:t>
      </w:r>
      <w:proofErr w:type="spellStart"/>
      <w:r w:rsidRPr="0061719B">
        <w:rPr>
          <w:b/>
          <w:sz w:val="20"/>
          <w:szCs w:val="20"/>
          <w:lang w:val="en-US"/>
        </w:rPr>
        <w:t>Cegedim</w:t>
      </w:r>
      <w:proofErr w:type="spellEnd"/>
      <w:r w:rsidRPr="0061719B">
        <w:rPr>
          <w:b/>
          <w:sz w:val="20"/>
          <w:szCs w:val="20"/>
          <w:lang w:val="en-US"/>
        </w:rPr>
        <w:t xml:space="preserve"> Customer Information estimates that the volume of medicines dispensed to patients in Romania totaled 71</w:t>
      </w:r>
      <w:r w:rsidR="005778C4">
        <w:rPr>
          <w:b/>
          <w:sz w:val="20"/>
          <w:szCs w:val="20"/>
          <w:lang w:val="en-US"/>
        </w:rPr>
        <w:t>7.3</w:t>
      </w:r>
      <w:r w:rsidRPr="0061719B">
        <w:rPr>
          <w:b/>
          <w:sz w:val="20"/>
          <w:szCs w:val="20"/>
          <w:lang w:val="en-US"/>
        </w:rPr>
        <w:t xml:space="preserve"> million units in the last 12 months ended </w:t>
      </w:r>
      <w:r w:rsidR="005778C4">
        <w:rPr>
          <w:b/>
          <w:sz w:val="20"/>
          <w:szCs w:val="20"/>
          <w:lang w:val="en-US"/>
        </w:rPr>
        <w:t>June</w:t>
      </w:r>
      <w:r w:rsidRPr="0061719B">
        <w:rPr>
          <w:b/>
          <w:sz w:val="20"/>
          <w:szCs w:val="20"/>
          <w:lang w:val="en-US"/>
        </w:rPr>
        <w:t xml:space="preserve"> 2025, approximately </w:t>
      </w:r>
      <w:r w:rsidR="005778C4">
        <w:rPr>
          <w:b/>
          <w:sz w:val="20"/>
          <w:szCs w:val="20"/>
          <w:lang w:val="en-US"/>
        </w:rPr>
        <w:t>1</w:t>
      </w:r>
      <w:r w:rsidRPr="0061719B">
        <w:rPr>
          <w:b/>
          <w:sz w:val="20"/>
          <w:szCs w:val="20"/>
          <w:lang w:val="en-US"/>
        </w:rPr>
        <w:t>%</w:t>
      </w:r>
      <w:r w:rsidR="005778C4">
        <w:rPr>
          <w:b/>
          <w:sz w:val="20"/>
          <w:szCs w:val="20"/>
          <w:lang w:val="en-US"/>
        </w:rPr>
        <w:t xml:space="preserve"> more than</w:t>
      </w:r>
      <w:r w:rsidRPr="0061719B">
        <w:rPr>
          <w:b/>
          <w:sz w:val="20"/>
          <w:szCs w:val="20"/>
          <w:lang w:val="en-US"/>
        </w:rPr>
        <w:t xml:space="preserve"> </w:t>
      </w:r>
      <w:r w:rsidR="005778C4">
        <w:rPr>
          <w:b/>
          <w:sz w:val="20"/>
          <w:szCs w:val="20"/>
          <w:lang w:val="en-US"/>
        </w:rPr>
        <w:t xml:space="preserve">the dispensed volumes in </w:t>
      </w:r>
      <w:r w:rsidRPr="0061719B">
        <w:rPr>
          <w:b/>
          <w:sz w:val="20"/>
          <w:szCs w:val="20"/>
          <w:lang w:val="en-US"/>
        </w:rPr>
        <w:t>the reference period</w:t>
      </w:r>
      <w:r>
        <w:rPr>
          <w:b/>
          <w:sz w:val="20"/>
          <w:szCs w:val="20"/>
          <w:lang w:val="en-US"/>
        </w:rPr>
        <w:t xml:space="preserve"> (</w:t>
      </w:r>
      <w:r w:rsidR="005778C4">
        <w:rPr>
          <w:b/>
          <w:sz w:val="20"/>
          <w:szCs w:val="20"/>
          <w:lang w:val="en-US"/>
        </w:rPr>
        <w:t>July</w:t>
      </w:r>
      <w:r>
        <w:rPr>
          <w:b/>
          <w:sz w:val="20"/>
          <w:szCs w:val="20"/>
          <w:lang w:val="en-US"/>
        </w:rPr>
        <w:t xml:space="preserve"> 2023-</w:t>
      </w:r>
      <w:r w:rsidR="005778C4">
        <w:rPr>
          <w:b/>
          <w:sz w:val="20"/>
          <w:szCs w:val="20"/>
          <w:lang w:val="en-US"/>
        </w:rPr>
        <w:t>June</w:t>
      </w:r>
      <w:r>
        <w:rPr>
          <w:b/>
          <w:sz w:val="20"/>
          <w:szCs w:val="20"/>
          <w:lang w:val="en-US"/>
        </w:rPr>
        <w:t xml:space="preserve"> 2024)</w:t>
      </w:r>
      <w:r w:rsidRPr="0061719B">
        <w:rPr>
          <w:b/>
          <w:sz w:val="20"/>
          <w:szCs w:val="20"/>
          <w:lang w:val="en-US"/>
        </w:rPr>
        <w:t>.</w:t>
      </w:r>
    </w:p>
    <w:p w14:paraId="62926DC0" w14:textId="77777777" w:rsidR="001B77FF" w:rsidRDefault="001B77FF" w:rsidP="00587C93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7D284608" w14:textId="6B2294CF" w:rsidR="00D03D6B" w:rsidRDefault="0061719B" w:rsidP="00D03D6B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1719B">
        <w:rPr>
          <w:rFonts w:ascii="Arial" w:hAnsi="Arial" w:cs="Arial"/>
          <w:b/>
          <w:sz w:val="20"/>
          <w:szCs w:val="20"/>
          <w:lang w:val="en-US"/>
        </w:rPr>
        <w:t xml:space="preserve">The total number of treatment days increased by </w:t>
      </w:r>
      <w:r w:rsidR="005778C4">
        <w:rPr>
          <w:rFonts w:ascii="Arial" w:hAnsi="Arial" w:cs="Arial"/>
          <w:b/>
          <w:sz w:val="20"/>
          <w:szCs w:val="20"/>
          <w:lang w:val="en-US"/>
        </w:rPr>
        <w:t>2,5</w:t>
      </w:r>
      <w:r w:rsidRPr="0061719B">
        <w:rPr>
          <w:rFonts w:ascii="Arial" w:hAnsi="Arial" w:cs="Arial"/>
          <w:b/>
          <w:sz w:val="20"/>
          <w:szCs w:val="20"/>
          <w:lang w:val="en-US"/>
        </w:rPr>
        <w:t xml:space="preserve">%, driven by a </w:t>
      </w:r>
      <w:r w:rsidR="005778C4">
        <w:rPr>
          <w:rFonts w:ascii="Arial" w:hAnsi="Arial" w:cs="Arial"/>
          <w:b/>
          <w:sz w:val="20"/>
          <w:szCs w:val="20"/>
          <w:lang w:val="en-US"/>
        </w:rPr>
        <w:t>2.4</w:t>
      </w:r>
      <w:r w:rsidRPr="0061719B">
        <w:rPr>
          <w:rFonts w:ascii="Arial" w:hAnsi="Arial" w:cs="Arial"/>
          <w:b/>
          <w:sz w:val="20"/>
          <w:szCs w:val="20"/>
          <w:lang w:val="en-US"/>
        </w:rPr>
        <w:t>% increase in retail, while the number of hospital treatment days increased by 8.</w:t>
      </w:r>
      <w:r w:rsidR="005778C4">
        <w:rPr>
          <w:rFonts w:ascii="Arial" w:hAnsi="Arial" w:cs="Arial"/>
          <w:b/>
          <w:sz w:val="20"/>
          <w:szCs w:val="20"/>
          <w:lang w:val="en-US"/>
        </w:rPr>
        <w:t>0</w:t>
      </w:r>
      <w:r w:rsidRPr="0061719B">
        <w:rPr>
          <w:rFonts w:ascii="Arial" w:hAnsi="Arial" w:cs="Arial"/>
          <w:b/>
          <w:sz w:val="20"/>
          <w:szCs w:val="20"/>
          <w:lang w:val="en-US"/>
        </w:rPr>
        <w:t>%.</w:t>
      </w:r>
    </w:p>
    <w:p w14:paraId="26E6EDAC" w14:textId="77777777" w:rsidR="0061719B" w:rsidRPr="00D03D6B" w:rsidRDefault="0061719B" w:rsidP="00D03D6B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D13AC20" w14:textId="2B4DCFCA" w:rsidR="00D03D6B" w:rsidRPr="00D03D6B" w:rsidRDefault="00D03D6B" w:rsidP="00D03D6B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03D6B">
        <w:rPr>
          <w:rFonts w:ascii="Arial" w:hAnsi="Arial" w:cs="Arial"/>
          <w:b/>
          <w:sz w:val="20"/>
          <w:szCs w:val="20"/>
          <w:lang w:val="en-US"/>
        </w:rPr>
        <w:t>The value of medicines dispensed to patients in Romania increased by 1</w:t>
      </w:r>
      <w:r w:rsidR="00561657">
        <w:rPr>
          <w:rFonts w:ascii="Arial" w:hAnsi="Arial" w:cs="Arial"/>
          <w:b/>
          <w:sz w:val="20"/>
          <w:szCs w:val="20"/>
          <w:lang w:val="en-US"/>
        </w:rPr>
        <w:t>3.</w:t>
      </w:r>
      <w:r w:rsidR="005778C4">
        <w:rPr>
          <w:rFonts w:ascii="Arial" w:hAnsi="Arial" w:cs="Arial"/>
          <w:b/>
          <w:sz w:val="20"/>
          <w:szCs w:val="20"/>
          <w:lang w:val="en-US"/>
        </w:rPr>
        <w:t>2</w:t>
      </w:r>
      <w:r w:rsidRPr="00D03D6B">
        <w:rPr>
          <w:rFonts w:ascii="Arial" w:hAnsi="Arial" w:cs="Arial"/>
          <w:b/>
          <w:sz w:val="20"/>
          <w:szCs w:val="20"/>
          <w:lang w:val="en-US"/>
        </w:rPr>
        <w:t>%, reaching RON 3</w:t>
      </w:r>
      <w:r w:rsidR="005778C4">
        <w:rPr>
          <w:rFonts w:ascii="Arial" w:hAnsi="Arial" w:cs="Arial"/>
          <w:b/>
          <w:sz w:val="20"/>
          <w:szCs w:val="20"/>
          <w:lang w:val="en-US"/>
        </w:rPr>
        <w:t>6</w:t>
      </w:r>
      <w:r w:rsidR="0061719B">
        <w:rPr>
          <w:rFonts w:ascii="Arial" w:hAnsi="Arial" w:cs="Arial"/>
          <w:b/>
          <w:sz w:val="20"/>
          <w:szCs w:val="20"/>
          <w:lang w:val="en-US"/>
        </w:rPr>
        <w:t>.2</w:t>
      </w:r>
      <w:r w:rsidRPr="00D03D6B">
        <w:rPr>
          <w:rFonts w:ascii="Arial" w:hAnsi="Arial" w:cs="Arial"/>
          <w:b/>
          <w:sz w:val="20"/>
          <w:szCs w:val="20"/>
          <w:lang w:val="en-US"/>
        </w:rPr>
        <w:t xml:space="preserve"> billion (EUR </w:t>
      </w:r>
      <w:r w:rsidR="0061719B">
        <w:rPr>
          <w:rFonts w:ascii="Arial" w:hAnsi="Arial" w:cs="Arial"/>
          <w:b/>
          <w:sz w:val="20"/>
          <w:szCs w:val="20"/>
          <w:lang w:val="en-US"/>
        </w:rPr>
        <w:t>7.</w:t>
      </w:r>
      <w:r w:rsidR="005778C4">
        <w:rPr>
          <w:rFonts w:ascii="Arial" w:hAnsi="Arial" w:cs="Arial"/>
          <w:b/>
          <w:sz w:val="20"/>
          <w:szCs w:val="20"/>
          <w:lang w:val="en-US"/>
        </w:rPr>
        <w:t>26</w:t>
      </w:r>
      <w:r w:rsidRPr="00D03D6B">
        <w:rPr>
          <w:rFonts w:ascii="Arial" w:hAnsi="Arial" w:cs="Arial"/>
          <w:b/>
          <w:sz w:val="20"/>
          <w:szCs w:val="20"/>
          <w:lang w:val="en-US"/>
        </w:rPr>
        <w:t xml:space="preserve"> billion) at the wholesale price level. Isolating the impact of the CVR and CV programs, the value of prescription medicines in retail pharmacies increased by </w:t>
      </w:r>
      <w:r w:rsidR="00561657">
        <w:rPr>
          <w:rFonts w:ascii="Arial" w:hAnsi="Arial" w:cs="Arial"/>
          <w:b/>
          <w:sz w:val="20"/>
          <w:szCs w:val="20"/>
          <w:lang w:val="en-US"/>
        </w:rPr>
        <w:t>1</w:t>
      </w:r>
      <w:r w:rsidR="005778C4">
        <w:rPr>
          <w:rFonts w:ascii="Arial" w:hAnsi="Arial" w:cs="Arial"/>
          <w:b/>
          <w:sz w:val="20"/>
          <w:szCs w:val="20"/>
          <w:lang w:val="en-US"/>
        </w:rPr>
        <w:t>1.1</w:t>
      </w:r>
      <w:r w:rsidRPr="00D03D6B">
        <w:rPr>
          <w:rFonts w:ascii="Arial" w:hAnsi="Arial" w:cs="Arial"/>
          <w:b/>
          <w:sz w:val="20"/>
          <w:szCs w:val="20"/>
          <w:lang w:val="en-US"/>
        </w:rPr>
        <w:t xml:space="preserve">% compared to the reference period, amounting to RON </w:t>
      </w:r>
      <w:r w:rsidR="00175151">
        <w:rPr>
          <w:rFonts w:ascii="Arial" w:hAnsi="Arial" w:cs="Arial"/>
          <w:b/>
          <w:sz w:val="20"/>
          <w:szCs w:val="20"/>
          <w:lang w:val="en-US"/>
        </w:rPr>
        <w:t>1</w:t>
      </w:r>
      <w:r w:rsidR="0061719B">
        <w:rPr>
          <w:rFonts w:ascii="Arial" w:hAnsi="Arial" w:cs="Arial"/>
          <w:b/>
          <w:sz w:val="20"/>
          <w:szCs w:val="20"/>
          <w:lang w:val="en-US"/>
        </w:rPr>
        <w:t>8.</w:t>
      </w:r>
      <w:r w:rsidR="005778C4">
        <w:rPr>
          <w:rFonts w:ascii="Arial" w:hAnsi="Arial" w:cs="Arial"/>
          <w:b/>
          <w:sz w:val="20"/>
          <w:szCs w:val="20"/>
          <w:lang w:val="en-US"/>
        </w:rPr>
        <w:t>49</w:t>
      </w:r>
      <w:r w:rsidRPr="00D03D6B">
        <w:rPr>
          <w:rFonts w:ascii="Arial" w:hAnsi="Arial" w:cs="Arial"/>
          <w:b/>
          <w:sz w:val="20"/>
          <w:szCs w:val="20"/>
          <w:lang w:val="en-US"/>
        </w:rPr>
        <w:t xml:space="preserve"> billion (EUR 3.</w:t>
      </w:r>
      <w:r w:rsidR="005778C4">
        <w:rPr>
          <w:rFonts w:ascii="Arial" w:hAnsi="Arial" w:cs="Arial"/>
          <w:b/>
          <w:sz w:val="20"/>
          <w:szCs w:val="20"/>
          <w:lang w:val="en-US"/>
        </w:rPr>
        <w:t>71</w:t>
      </w:r>
      <w:r w:rsidRPr="00D03D6B">
        <w:rPr>
          <w:rFonts w:ascii="Arial" w:hAnsi="Arial" w:cs="Arial"/>
          <w:b/>
          <w:sz w:val="20"/>
          <w:szCs w:val="20"/>
          <w:lang w:val="en-US"/>
        </w:rPr>
        <w:t xml:space="preserve"> billion).</w:t>
      </w:r>
    </w:p>
    <w:p w14:paraId="46BF0DFC" w14:textId="77777777" w:rsidR="00D03D6B" w:rsidRPr="00D03D6B" w:rsidRDefault="00D03D6B" w:rsidP="00D03D6B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5EC3C57" w14:textId="2A884587" w:rsidR="00D03D6B" w:rsidRPr="000762D9" w:rsidRDefault="00D03D6B" w:rsidP="00D03D6B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03D6B">
        <w:rPr>
          <w:rFonts w:ascii="Arial" w:hAnsi="Arial" w:cs="Arial"/>
          <w:b/>
          <w:sz w:val="20"/>
          <w:szCs w:val="20"/>
          <w:lang w:val="en-US"/>
        </w:rPr>
        <w:t xml:space="preserve">The Pharma &amp; Hospital Report, </w:t>
      </w:r>
      <w:r w:rsidRPr="001B77FF">
        <w:rPr>
          <w:rFonts w:ascii="Arial" w:hAnsi="Arial" w:cs="Arial"/>
          <w:sz w:val="20"/>
          <w:szCs w:val="20"/>
          <w:lang w:val="en-US"/>
        </w:rPr>
        <w:t>a benchmark study for pharmaceutical market research, has been conducted in Romania since 1996.</w:t>
      </w:r>
    </w:p>
    <w:p w14:paraId="0A46F474" w14:textId="77777777" w:rsidR="00841C0A" w:rsidRPr="00847BC9" w:rsidRDefault="00841C0A" w:rsidP="00300BC8">
      <w:pPr>
        <w:spacing w:after="0"/>
        <w:rPr>
          <w:rFonts w:ascii="Arial" w:hAnsi="Arial" w:cs="Arial"/>
          <w:b/>
          <w:bCs/>
          <w:color w:val="365F91" w:themeColor="accent1" w:themeShade="BF"/>
          <w:szCs w:val="22"/>
          <w:u w:val="single"/>
          <w:lang w:val="ro-RO"/>
        </w:rPr>
      </w:pPr>
    </w:p>
    <w:p w14:paraId="5F1CB6C4" w14:textId="77777777" w:rsidR="00300BC8" w:rsidRPr="000762D9" w:rsidRDefault="00587C93" w:rsidP="00300BC8">
      <w:pPr>
        <w:spacing w:after="0"/>
        <w:rPr>
          <w:rFonts w:ascii="Arial" w:hAnsi="Arial" w:cs="Arial"/>
          <w:b/>
          <w:bCs/>
          <w:color w:val="365F91" w:themeColor="accent1" w:themeShade="BF"/>
          <w:szCs w:val="22"/>
          <w:u w:val="single"/>
          <w:lang w:val="en-US"/>
        </w:rPr>
      </w:pPr>
      <w:r w:rsidRPr="000762D9">
        <w:rPr>
          <w:rFonts w:ascii="Arial" w:hAnsi="Arial" w:cs="Arial"/>
          <w:b/>
          <w:bCs/>
          <w:color w:val="365F91" w:themeColor="accent1" w:themeShade="BF"/>
          <w:szCs w:val="22"/>
          <w:u w:val="single"/>
          <w:lang w:val="en-US"/>
        </w:rPr>
        <w:t>Market evolution in Volume</w:t>
      </w:r>
    </w:p>
    <w:p w14:paraId="6B9C78FB" w14:textId="77777777" w:rsidR="00300BC8" w:rsidRPr="000762D9" w:rsidRDefault="00300BC8" w:rsidP="00300BC8">
      <w:pPr>
        <w:pStyle w:val="Default"/>
        <w:ind w:left="1065"/>
        <w:rPr>
          <w:lang w:val="en-US"/>
        </w:rPr>
      </w:pPr>
    </w:p>
    <w:tbl>
      <w:tblPr>
        <w:tblW w:w="91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50"/>
        <w:gridCol w:w="990"/>
        <w:gridCol w:w="1057"/>
        <w:gridCol w:w="1103"/>
        <w:gridCol w:w="1260"/>
        <w:gridCol w:w="1170"/>
      </w:tblGrid>
      <w:tr w:rsidR="004379AC" w:rsidRPr="000762D9" w14:paraId="6AC5D9B5" w14:textId="77777777" w:rsidTr="002C0647">
        <w:trPr>
          <w:trHeight w:val="46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CDA3815" w14:textId="77777777" w:rsidR="004379AC" w:rsidRPr="000762D9" w:rsidRDefault="004379AC" w:rsidP="004379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</w:p>
          <w:p w14:paraId="0AA6640F" w14:textId="77777777" w:rsidR="004379AC" w:rsidRPr="000762D9" w:rsidRDefault="00986C33" w:rsidP="004379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Channel</w:t>
            </w:r>
            <w:r w:rsidR="004379AC"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 xml:space="preserve">/ </w:t>
            </w:r>
          </w:p>
          <w:p w14:paraId="2C59529E" w14:textId="77777777" w:rsidR="004379AC" w:rsidRPr="000762D9" w:rsidRDefault="004379AC" w:rsidP="004379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Segment/</w:t>
            </w:r>
          </w:p>
          <w:p w14:paraId="79C32F97" w14:textId="77777777" w:rsidR="004379AC" w:rsidRPr="000762D9" w:rsidRDefault="004379AC" w:rsidP="004379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Contract</w:t>
            </w:r>
          </w:p>
          <w:p w14:paraId="5005BCE6" w14:textId="77777777" w:rsidR="004379AC" w:rsidRPr="000762D9" w:rsidRDefault="004379AC" w:rsidP="00937AE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072CA5F0" w14:textId="665DF556" w:rsidR="004379AC" w:rsidRPr="000762D9" w:rsidRDefault="00484312" w:rsidP="009229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2</w:t>
            </w:r>
            <w:r w:rsidRPr="00484312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 xml:space="preserve"> </w:t>
            </w:r>
            <w:r w:rsidR="00986C33"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Quarter</w:t>
            </w:r>
            <w:r w:rsidR="004379AC"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 xml:space="preserve"> 20</w:t>
            </w:r>
            <w:r w:rsidR="002C6D8A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2</w:t>
            </w:r>
            <w:r w:rsidR="00660E61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5</w:t>
            </w:r>
          </w:p>
        </w:tc>
        <w:tc>
          <w:tcPr>
            <w:tcW w:w="3533" w:type="dxa"/>
            <w:gridSpan w:val="3"/>
            <w:vAlign w:val="center"/>
          </w:tcPr>
          <w:p w14:paraId="56E6AE9E" w14:textId="50B8DF4C" w:rsidR="004379AC" w:rsidRPr="000762D9" w:rsidRDefault="00660E61" w:rsidP="009229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MAT (</w:t>
            </w:r>
            <w:r w:rsidR="00561657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5-Q</w:t>
            </w:r>
            <w:r w:rsidR="00484312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)</w:t>
            </w:r>
          </w:p>
        </w:tc>
      </w:tr>
      <w:tr w:rsidR="00986C33" w:rsidRPr="000762D9" w14:paraId="0F159909" w14:textId="77777777" w:rsidTr="002C0647">
        <w:trPr>
          <w:trHeight w:val="46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33DEDB0" w14:textId="77777777" w:rsidR="00986C33" w:rsidRPr="000762D9" w:rsidRDefault="00986C33" w:rsidP="00986C33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39D4595F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 xml:space="preserve">Total </w:t>
            </w:r>
          </w:p>
          <w:p w14:paraId="22756296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>Units</w:t>
            </w:r>
          </w:p>
        </w:tc>
        <w:tc>
          <w:tcPr>
            <w:tcW w:w="990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0C53DC80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>Market Share</w:t>
            </w:r>
          </w:p>
        </w:tc>
        <w:tc>
          <w:tcPr>
            <w:tcW w:w="1057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  <w:hideMark/>
          </w:tcPr>
          <w:p w14:paraId="083EE356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>Variation</w:t>
            </w:r>
          </w:p>
        </w:tc>
        <w:tc>
          <w:tcPr>
            <w:tcW w:w="1103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6FA3FCA2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 xml:space="preserve">Total </w:t>
            </w:r>
          </w:p>
          <w:p w14:paraId="011FBB02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>Units</w:t>
            </w:r>
          </w:p>
        </w:tc>
        <w:tc>
          <w:tcPr>
            <w:tcW w:w="1260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3955DB6C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>Market Share</w:t>
            </w:r>
          </w:p>
        </w:tc>
        <w:tc>
          <w:tcPr>
            <w:tcW w:w="1170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2DCF91B5" w14:textId="77777777" w:rsidR="00986C33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762D9">
              <w:rPr>
                <w:rFonts w:ascii="Arial" w:hAnsi="Arial"/>
                <w:b/>
                <w:bCs/>
                <w:color w:val="365F91"/>
                <w:sz w:val="18"/>
                <w:szCs w:val="18"/>
                <w:lang w:val="en-US"/>
              </w:rPr>
              <w:t>Variation</w:t>
            </w:r>
          </w:p>
        </w:tc>
      </w:tr>
      <w:tr w:rsidR="004379AC" w:rsidRPr="000762D9" w14:paraId="4F0327FB" w14:textId="77777777" w:rsidTr="002C0647">
        <w:trPr>
          <w:trHeight w:val="144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A9C9E4C" w14:textId="77777777" w:rsidR="004379AC" w:rsidRPr="000762D9" w:rsidRDefault="004379AC" w:rsidP="00937AE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1B401" w14:textId="77777777" w:rsidR="004379AC" w:rsidRPr="000762D9" w:rsidRDefault="00986C33" w:rsidP="00986C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</w:pPr>
            <w:proofErr w:type="spellStart"/>
            <w:r w:rsidRPr="000762D9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  <w:t>mn</w:t>
            </w:r>
            <w:proofErr w:type="spellEnd"/>
          </w:p>
        </w:tc>
        <w:tc>
          <w:tcPr>
            <w:tcW w:w="990" w:type="dxa"/>
            <w:vAlign w:val="center"/>
          </w:tcPr>
          <w:p w14:paraId="261387DF" w14:textId="77777777" w:rsidR="004379AC" w:rsidRPr="000762D9" w:rsidRDefault="004379AC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  <w:t>(%)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6503314" w14:textId="77777777" w:rsidR="004379AC" w:rsidRPr="000762D9" w:rsidRDefault="004379AC" w:rsidP="00937AE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  <w:t>(+/- %)</w:t>
            </w:r>
          </w:p>
        </w:tc>
        <w:tc>
          <w:tcPr>
            <w:tcW w:w="1103" w:type="dxa"/>
            <w:vAlign w:val="center"/>
          </w:tcPr>
          <w:p w14:paraId="5DC46187" w14:textId="77777777" w:rsidR="004379AC" w:rsidRPr="000762D9" w:rsidRDefault="00986C33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</w:pPr>
            <w:proofErr w:type="spellStart"/>
            <w:r w:rsidRPr="000762D9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  <w:t>mn</w:t>
            </w:r>
            <w:proofErr w:type="spellEnd"/>
          </w:p>
        </w:tc>
        <w:tc>
          <w:tcPr>
            <w:tcW w:w="1260" w:type="dxa"/>
            <w:vAlign w:val="center"/>
          </w:tcPr>
          <w:p w14:paraId="51DE5B06" w14:textId="77777777" w:rsidR="004379AC" w:rsidRPr="000762D9" w:rsidRDefault="004379AC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  <w:t>(%)</w:t>
            </w:r>
          </w:p>
        </w:tc>
        <w:tc>
          <w:tcPr>
            <w:tcW w:w="1170" w:type="dxa"/>
            <w:vAlign w:val="center"/>
          </w:tcPr>
          <w:p w14:paraId="5A56CCFF" w14:textId="77777777" w:rsidR="004379AC" w:rsidRPr="000762D9" w:rsidRDefault="004379AC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  <w:t>(+/- %)</w:t>
            </w:r>
          </w:p>
        </w:tc>
      </w:tr>
      <w:tr w:rsidR="00484312" w:rsidRPr="000762D9" w14:paraId="5681218F" w14:textId="77777777" w:rsidTr="002C0647">
        <w:trPr>
          <w:trHeight w:val="270"/>
        </w:trPr>
        <w:tc>
          <w:tcPr>
            <w:tcW w:w="2268" w:type="dxa"/>
            <w:shd w:val="clear" w:color="000000" w:fill="D3DFEE"/>
            <w:vAlign w:val="center"/>
            <w:hideMark/>
          </w:tcPr>
          <w:p w14:paraId="47219DC0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Total market</w:t>
            </w:r>
          </w:p>
        </w:tc>
        <w:tc>
          <w:tcPr>
            <w:tcW w:w="1350" w:type="dxa"/>
            <w:shd w:val="clear" w:color="000000" w:fill="D3DFEE"/>
            <w:vAlign w:val="center"/>
          </w:tcPr>
          <w:p w14:paraId="6FADB938" w14:textId="5F3B713F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172.2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76A79DD0" w14:textId="37E0718C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100.0%</w:t>
            </w:r>
          </w:p>
        </w:tc>
        <w:tc>
          <w:tcPr>
            <w:tcW w:w="1057" w:type="dxa"/>
            <w:shd w:val="clear" w:color="000000" w:fill="D3DFEE"/>
            <w:vAlign w:val="center"/>
            <w:hideMark/>
          </w:tcPr>
          <w:p w14:paraId="175E3A2A" w14:textId="5A1169EB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1.1%</w:t>
            </w:r>
          </w:p>
        </w:tc>
        <w:tc>
          <w:tcPr>
            <w:tcW w:w="1103" w:type="dxa"/>
            <w:shd w:val="clear" w:color="000000" w:fill="D3DFEE"/>
            <w:vAlign w:val="center"/>
          </w:tcPr>
          <w:p w14:paraId="14EA0BA4" w14:textId="09890D0A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717.3</w:t>
            </w:r>
          </w:p>
        </w:tc>
        <w:tc>
          <w:tcPr>
            <w:tcW w:w="1260" w:type="dxa"/>
            <w:shd w:val="clear" w:color="000000" w:fill="D3DFEE"/>
            <w:vAlign w:val="center"/>
          </w:tcPr>
          <w:p w14:paraId="71CD56C3" w14:textId="6A0B13D0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100.0%</w:t>
            </w:r>
          </w:p>
        </w:tc>
        <w:tc>
          <w:tcPr>
            <w:tcW w:w="1170" w:type="dxa"/>
            <w:shd w:val="clear" w:color="000000" w:fill="D3DFEE"/>
            <w:vAlign w:val="center"/>
          </w:tcPr>
          <w:p w14:paraId="6D865BEA" w14:textId="254DDB02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0.8%</w:t>
            </w:r>
          </w:p>
        </w:tc>
      </w:tr>
      <w:tr w:rsidR="00484312" w:rsidRPr="000762D9" w14:paraId="0D6F22EA" w14:textId="77777777" w:rsidTr="002C0647">
        <w:trPr>
          <w:trHeight w:val="270"/>
        </w:trPr>
        <w:tc>
          <w:tcPr>
            <w:tcW w:w="2268" w:type="dxa"/>
            <w:shd w:val="clear" w:color="auto" w:fill="auto"/>
            <w:vAlign w:val="center"/>
            <w:hideMark/>
          </w:tcPr>
          <w:p w14:paraId="32F1470A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20"/>
                <w:szCs w:val="20"/>
                <w:lang w:val="en-US"/>
              </w:rPr>
              <w:t>Retail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3F072C" w14:textId="072A693B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164.5</w:t>
            </w:r>
          </w:p>
        </w:tc>
        <w:tc>
          <w:tcPr>
            <w:tcW w:w="990" w:type="dxa"/>
            <w:vAlign w:val="center"/>
          </w:tcPr>
          <w:p w14:paraId="26031A32" w14:textId="69BB018D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95.5%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010C9B4" w14:textId="55009206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1.2%</w:t>
            </w:r>
          </w:p>
        </w:tc>
        <w:tc>
          <w:tcPr>
            <w:tcW w:w="1103" w:type="dxa"/>
            <w:vAlign w:val="center"/>
          </w:tcPr>
          <w:p w14:paraId="7F16DA8D" w14:textId="12E55B2E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686.0</w:t>
            </w:r>
          </w:p>
        </w:tc>
        <w:tc>
          <w:tcPr>
            <w:tcW w:w="1260" w:type="dxa"/>
            <w:vAlign w:val="center"/>
          </w:tcPr>
          <w:p w14:paraId="2ACB3D19" w14:textId="67D4FBD1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95.6%</w:t>
            </w:r>
          </w:p>
        </w:tc>
        <w:tc>
          <w:tcPr>
            <w:tcW w:w="1170" w:type="dxa"/>
            <w:vAlign w:val="center"/>
          </w:tcPr>
          <w:p w14:paraId="51F3B4E2" w14:textId="1347CA0C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0.7%</w:t>
            </w:r>
          </w:p>
        </w:tc>
      </w:tr>
      <w:tr w:rsidR="00484312" w:rsidRPr="000762D9" w14:paraId="776C5067" w14:textId="77777777" w:rsidTr="002C0647">
        <w:trPr>
          <w:trHeight w:val="270"/>
        </w:trPr>
        <w:tc>
          <w:tcPr>
            <w:tcW w:w="2268" w:type="dxa"/>
            <w:shd w:val="clear" w:color="000000" w:fill="D3DFEE"/>
            <w:vAlign w:val="center"/>
            <w:hideMark/>
          </w:tcPr>
          <w:p w14:paraId="7B9B1231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- Rx</w:t>
            </w:r>
          </w:p>
        </w:tc>
        <w:tc>
          <w:tcPr>
            <w:tcW w:w="1350" w:type="dxa"/>
            <w:shd w:val="clear" w:color="000000" w:fill="D3DFEE"/>
            <w:vAlign w:val="center"/>
          </w:tcPr>
          <w:p w14:paraId="0715E1EF" w14:textId="71E70819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103.1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6D893250" w14:textId="62A3BAF9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59.9%</w:t>
            </w:r>
          </w:p>
        </w:tc>
        <w:tc>
          <w:tcPr>
            <w:tcW w:w="1057" w:type="dxa"/>
            <w:shd w:val="clear" w:color="000000" w:fill="D3DFEE"/>
            <w:vAlign w:val="center"/>
            <w:hideMark/>
          </w:tcPr>
          <w:p w14:paraId="435C1283" w14:textId="0A9FBC6D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0.2%</w:t>
            </w:r>
          </w:p>
        </w:tc>
        <w:tc>
          <w:tcPr>
            <w:tcW w:w="1103" w:type="dxa"/>
            <w:shd w:val="clear" w:color="000000" w:fill="D3DFEE"/>
            <w:vAlign w:val="center"/>
          </w:tcPr>
          <w:p w14:paraId="3E3EF159" w14:textId="4F4D92DF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419.2</w:t>
            </w:r>
          </w:p>
        </w:tc>
        <w:tc>
          <w:tcPr>
            <w:tcW w:w="1260" w:type="dxa"/>
            <w:shd w:val="clear" w:color="000000" w:fill="D3DFEE"/>
            <w:vAlign w:val="center"/>
          </w:tcPr>
          <w:p w14:paraId="0FBDC14C" w14:textId="527A93B3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58.5%</w:t>
            </w:r>
          </w:p>
        </w:tc>
        <w:tc>
          <w:tcPr>
            <w:tcW w:w="1170" w:type="dxa"/>
            <w:shd w:val="clear" w:color="000000" w:fill="D3DFEE"/>
            <w:vAlign w:val="center"/>
          </w:tcPr>
          <w:p w14:paraId="7DAD2B8A" w14:textId="4A797698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0.4%</w:t>
            </w:r>
          </w:p>
        </w:tc>
      </w:tr>
      <w:tr w:rsidR="00484312" w:rsidRPr="000762D9" w14:paraId="19466540" w14:textId="77777777" w:rsidTr="002C0647">
        <w:trPr>
          <w:trHeight w:val="270"/>
        </w:trPr>
        <w:tc>
          <w:tcPr>
            <w:tcW w:w="2268" w:type="dxa"/>
            <w:shd w:val="clear" w:color="auto" w:fill="auto"/>
            <w:vAlign w:val="center"/>
            <w:hideMark/>
          </w:tcPr>
          <w:p w14:paraId="1155889D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Cs/>
                <w:i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Cs/>
                <w:i/>
                <w:color w:val="365F91"/>
                <w:sz w:val="20"/>
                <w:szCs w:val="20"/>
                <w:lang w:val="en-US"/>
              </w:rPr>
              <w:t>Rx – w/o contract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66B8FE" w14:textId="72B2597A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101.8</w:t>
            </w:r>
          </w:p>
        </w:tc>
        <w:tc>
          <w:tcPr>
            <w:tcW w:w="990" w:type="dxa"/>
            <w:vAlign w:val="center"/>
          </w:tcPr>
          <w:p w14:paraId="14D3A678" w14:textId="3A1BF8BD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59.1%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6A5F3EE" w14:textId="631DDA82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0.0%</w:t>
            </w:r>
          </w:p>
        </w:tc>
        <w:tc>
          <w:tcPr>
            <w:tcW w:w="1103" w:type="dxa"/>
            <w:vAlign w:val="center"/>
          </w:tcPr>
          <w:p w14:paraId="778BBCFC" w14:textId="4641382A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414.7</w:t>
            </w:r>
          </w:p>
        </w:tc>
        <w:tc>
          <w:tcPr>
            <w:tcW w:w="1260" w:type="dxa"/>
            <w:vAlign w:val="center"/>
          </w:tcPr>
          <w:p w14:paraId="46DE1358" w14:textId="60D09116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57.8%</w:t>
            </w:r>
          </w:p>
        </w:tc>
        <w:tc>
          <w:tcPr>
            <w:tcW w:w="1170" w:type="dxa"/>
            <w:vAlign w:val="center"/>
          </w:tcPr>
          <w:p w14:paraId="5099044A" w14:textId="07E332AD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0.2%</w:t>
            </w:r>
          </w:p>
        </w:tc>
      </w:tr>
      <w:tr w:rsidR="00484312" w:rsidRPr="000762D9" w14:paraId="54C854BA" w14:textId="77777777" w:rsidTr="002C0647">
        <w:trPr>
          <w:trHeight w:val="270"/>
        </w:trPr>
        <w:tc>
          <w:tcPr>
            <w:tcW w:w="2268" w:type="dxa"/>
            <w:shd w:val="clear" w:color="000000" w:fill="D3DFEE"/>
            <w:vAlign w:val="center"/>
            <w:hideMark/>
          </w:tcPr>
          <w:p w14:paraId="3CA6FDF9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Cs/>
                <w:i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Cs/>
                <w:i/>
                <w:color w:val="365F91"/>
                <w:sz w:val="20"/>
                <w:szCs w:val="20"/>
                <w:lang w:val="en-US"/>
              </w:rPr>
              <w:t xml:space="preserve">Rx – CVR contract </w:t>
            </w:r>
          </w:p>
        </w:tc>
        <w:tc>
          <w:tcPr>
            <w:tcW w:w="1350" w:type="dxa"/>
            <w:shd w:val="clear" w:color="000000" w:fill="D3DFEE"/>
            <w:vAlign w:val="center"/>
          </w:tcPr>
          <w:p w14:paraId="6D6A1C5C" w14:textId="71F3A3E1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0.002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1ACEECA3" w14:textId="5BD3694E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0.0%</w:t>
            </w:r>
          </w:p>
        </w:tc>
        <w:tc>
          <w:tcPr>
            <w:tcW w:w="1057" w:type="dxa"/>
            <w:shd w:val="clear" w:color="000000" w:fill="D3DFEE"/>
            <w:vAlign w:val="center"/>
            <w:hideMark/>
          </w:tcPr>
          <w:p w14:paraId="0F58DC65" w14:textId="1BBFC5BD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34.5%</w:t>
            </w:r>
          </w:p>
        </w:tc>
        <w:tc>
          <w:tcPr>
            <w:tcW w:w="1103" w:type="dxa"/>
            <w:shd w:val="clear" w:color="000000" w:fill="D3DFEE"/>
            <w:vAlign w:val="center"/>
          </w:tcPr>
          <w:p w14:paraId="5F0BC47D" w14:textId="6A473B38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0.01</w:t>
            </w:r>
          </w:p>
        </w:tc>
        <w:tc>
          <w:tcPr>
            <w:tcW w:w="1260" w:type="dxa"/>
            <w:shd w:val="clear" w:color="000000" w:fill="D3DFEE"/>
            <w:vAlign w:val="center"/>
          </w:tcPr>
          <w:p w14:paraId="617DD948" w14:textId="29B4B0A2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0.0%</w:t>
            </w:r>
          </w:p>
        </w:tc>
        <w:tc>
          <w:tcPr>
            <w:tcW w:w="1170" w:type="dxa"/>
            <w:shd w:val="clear" w:color="000000" w:fill="D3DFEE"/>
            <w:vAlign w:val="center"/>
          </w:tcPr>
          <w:p w14:paraId="3405923F" w14:textId="6A5B3FB6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3.5%</w:t>
            </w:r>
          </w:p>
        </w:tc>
      </w:tr>
      <w:tr w:rsidR="00484312" w:rsidRPr="000762D9" w14:paraId="422EFD67" w14:textId="77777777" w:rsidTr="002C0647">
        <w:trPr>
          <w:trHeight w:val="270"/>
        </w:trPr>
        <w:tc>
          <w:tcPr>
            <w:tcW w:w="2268" w:type="dxa"/>
            <w:shd w:val="clear" w:color="auto" w:fill="auto"/>
            <w:vAlign w:val="center"/>
            <w:hideMark/>
          </w:tcPr>
          <w:p w14:paraId="2467353F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Cs/>
                <w:i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Cs/>
                <w:i/>
                <w:color w:val="365F91"/>
                <w:sz w:val="20"/>
                <w:szCs w:val="20"/>
                <w:lang w:val="en-US"/>
              </w:rPr>
              <w:t>Rx – CV contract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7264EA" w14:textId="4F2CCFAA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1.2</w:t>
            </w:r>
          </w:p>
        </w:tc>
        <w:tc>
          <w:tcPr>
            <w:tcW w:w="990" w:type="dxa"/>
            <w:vAlign w:val="center"/>
          </w:tcPr>
          <w:p w14:paraId="0D96333D" w14:textId="5985C031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0.7%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638508C" w14:textId="3A510912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20.2%</w:t>
            </w:r>
          </w:p>
        </w:tc>
        <w:tc>
          <w:tcPr>
            <w:tcW w:w="1103" w:type="dxa"/>
            <w:vAlign w:val="center"/>
          </w:tcPr>
          <w:p w14:paraId="4976FD33" w14:textId="0F253213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4.5</w:t>
            </w:r>
          </w:p>
        </w:tc>
        <w:tc>
          <w:tcPr>
            <w:tcW w:w="1260" w:type="dxa"/>
            <w:vAlign w:val="center"/>
          </w:tcPr>
          <w:p w14:paraId="74DC6E68" w14:textId="66B2F864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0.6%</w:t>
            </w:r>
          </w:p>
        </w:tc>
        <w:tc>
          <w:tcPr>
            <w:tcW w:w="1170" w:type="dxa"/>
            <w:vAlign w:val="center"/>
          </w:tcPr>
          <w:p w14:paraId="478486AA" w14:textId="64C6D44E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65F91"/>
                <w:sz w:val="20"/>
                <w:szCs w:val="20"/>
              </w:rPr>
              <w:t>19.9%</w:t>
            </w:r>
          </w:p>
        </w:tc>
      </w:tr>
      <w:tr w:rsidR="00484312" w:rsidRPr="000762D9" w14:paraId="545F6CC0" w14:textId="77777777" w:rsidTr="002C0647">
        <w:trPr>
          <w:trHeight w:val="270"/>
        </w:trPr>
        <w:tc>
          <w:tcPr>
            <w:tcW w:w="2268" w:type="dxa"/>
            <w:shd w:val="clear" w:color="000000" w:fill="D3DFEE"/>
            <w:vAlign w:val="center"/>
            <w:hideMark/>
          </w:tcPr>
          <w:p w14:paraId="1FBC2380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- OTC</w:t>
            </w:r>
          </w:p>
        </w:tc>
        <w:tc>
          <w:tcPr>
            <w:tcW w:w="1350" w:type="dxa"/>
            <w:shd w:val="clear" w:color="000000" w:fill="D3DFEE"/>
            <w:vAlign w:val="center"/>
          </w:tcPr>
          <w:p w14:paraId="0FAA9921" w14:textId="2FA1146F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61.4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1EC1403C" w14:textId="0EDBC60F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35.7%</w:t>
            </w:r>
          </w:p>
        </w:tc>
        <w:tc>
          <w:tcPr>
            <w:tcW w:w="1057" w:type="dxa"/>
            <w:shd w:val="clear" w:color="000000" w:fill="D3DFEE"/>
            <w:vAlign w:val="center"/>
            <w:hideMark/>
          </w:tcPr>
          <w:p w14:paraId="76CA0EF1" w14:textId="4E212BF1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3.0%</w:t>
            </w:r>
          </w:p>
        </w:tc>
        <w:tc>
          <w:tcPr>
            <w:tcW w:w="1103" w:type="dxa"/>
            <w:shd w:val="clear" w:color="000000" w:fill="D3DFEE"/>
            <w:vAlign w:val="center"/>
          </w:tcPr>
          <w:p w14:paraId="40AC28E4" w14:textId="295697A4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266.8</w:t>
            </w:r>
          </w:p>
        </w:tc>
        <w:tc>
          <w:tcPr>
            <w:tcW w:w="1260" w:type="dxa"/>
            <w:shd w:val="clear" w:color="000000" w:fill="D3DFEE"/>
            <w:vAlign w:val="center"/>
          </w:tcPr>
          <w:p w14:paraId="27A977B0" w14:textId="0F61194F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37.2%</w:t>
            </w:r>
          </w:p>
        </w:tc>
        <w:tc>
          <w:tcPr>
            <w:tcW w:w="1170" w:type="dxa"/>
            <w:shd w:val="clear" w:color="000000" w:fill="D3DFEE"/>
            <w:vAlign w:val="center"/>
          </w:tcPr>
          <w:p w14:paraId="2B617201" w14:textId="0095D9C0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1.1%</w:t>
            </w:r>
          </w:p>
        </w:tc>
      </w:tr>
      <w:tr w:rsidR="00484312" w:rsidRPr="000762D9" w14:paraId="466C1E79" w14:textId="77777777" w:rsidTr="002C0647">
        <w:trPr>
          <w:trHeight w:val="270"/>
        </w:trPr>
        <w:tc>
          <w:tcPr>
            <w:tcW w:w="2268" w:type="dxa"/>
            <w:shd w:val="clear" w:color="auto" w:fill="auto"/>
            <w:vAlign w:val="center"/>
            <w:hideMark/>
          </w:tcPr>
          <w:p w14:paraId="6BDBDA2A" w14:textId="77777777" w:rsidR="00484312" w:rsidRPr="000762D9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 w:rsidRPr="000762D9"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  <w:t>Hospital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4D63FB" w14:textId="1C8634F0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7.7</w:t>
            </w:r>
          </w:p>
        </w:tc>
        <w:tc>
          <w:tcPr>
            <w:tcW w:w="990" w:type="dxa"/>
            <w:vAlign w:val="center"/>
          </w:tcPr>
          <w:p w14:paraId="70019595" w14:textId="7EE202AD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4.5%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D469A5" w14:textId="3651A670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-1.0%</w:t>
            </w:r>
          </w:p>
        </w:tc>
        <w:tc>
          <w:tcPr>
            <w:tcW w:w="1103" w:type="dxa"/>
            <w:vAlign w:val="center"/>
          </w:tcPr>
          <w:p w14:paraId="7AE5A3CC" w14:textId="1EF406C0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31.3</w:t>
            </w:r>
          </w:p>
        </w:tc>
        <w:tc>
          <w:tcPr>
            <w:tcW w:w="1260" w:type="dxa"/>
            <w:vAlign w:val="center"/>
          </w:tcPr>
          <w:p w14:paraId="56C9C68A" w14:textId="10937436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4.4%</w:t>
            </w:r>
          </w:p>
        </w:tc>
        <w:tc>
          <w:tcPr>
            <w:tcW w:w="1170" w:type="dxa"/>
            <w:vAlign w:val="center"/>
          </w:tcPr>
          <w:p w14:paraId="15D278AC" w14:textId="763B2597" w:rsidR="00484312" w:rsidRPr="00B11434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65F91"/>
                <w:sz w:val="20"/>
                <w:szCs w:val="20"/>
              </w:rPr>
              <w:t>4.9%</w:t>
            </w:r>
          </w:p>
        </w:tc>
      </w:tr>
    </w:tbl>
    <w:p w14:paraId="70824BF5" w14:textId="404F8F45" w:rsidR="00A54FE9" w:rsidRPr="00A54FE9" w:rsidRDefault="00A54FE9" w:rsidP="00373468">
      <w:pPr>
        <w:jc w:val="both"/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</w:pP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* </w:t>
      </w:r>
      <w:r w:rsidR="000524C6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The variation</w:t>
      </w:r>
      <w:r w:rsidR="00C2541E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calculated 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for </w:t>
      </w:r>
      <w:r w:rsidR="00C2541E"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CVR </w:t>
      </w:r>
      <w:r w:rsidR="00E52D3B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and</w:t>
      </w:r>
      <w:r w:rsidR="00C2541E"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CV </w:t>
      </w:r>
      <w:r w:rsidR="00563736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contracts </w:t>
      </w:r>
      <w:r w:rsidR="002C0647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considered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the composition of the</w:t>
      </w:r>
      <w:r w:rsidR="00C2541E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se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</w:t>
      </w:r>
      <w:r w:rsidR="000253D5"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categories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</w:t>
      </w:r>
      <w:r w:rsidR="00C2541E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for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the reporting period (</w:t>
      </w:r>
      <w:r w:rsidR="006E5385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1</w:t>
      </w:r>
      <w:r w:rsidR="006E5385" w:rsidRPr="006E5385">
        <w:rPr>
          <w:rFonts w:ascii="Arial" w:hAnsi="Arial" w:cs="Arial"/>
          <w:bCs/>
          <w:i/>
          <w:color w:val="365F91" w:themeColor="accent1" w:themeShade="BF"/>
          <w:sz w:val="18"/>
          <w:szCs w:val="18"/>
          <w:vertAlign w:val="superscript"/>
          <w:lang w:val="en-US"/>
        </w:rPr>
        <w:t>st</w:t>
      </w:r>
      <w:r w:rsidR="006E5385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</w:t>
      </w:r>
      <w:r w:rsidR="008B6736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quarter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202</w:t>
      </w:r>
      <w:r w:rsidR="006E5385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5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), respectively the reference period (</w:t>
      </w:r>
      <w:r w:rsidR="00D04317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1</w:t>
      </w:r>
      <w:r w:rsidR="00D04317" w:rsidRPr="006E5385">
        <w:rPr>
          <w:rFonts w:ascii="Arial" w:hAnsi="Arial" w:cs="Arial"/>
          <w:bCs/>
          <w:i/>
          <w:color w:val="365F91" w:themeColor="accent1" w:themeShade="BF"/>
          <w:sz w:val="18"/>
          <w:szCs w:val="18"/>
          <w:vertAlign w:val="superscript"/>
          <w:lang w:val="en-US"/>
        </w:rPr>
        <w:t>st</w:t>
      </w:r>
      <w:r w:rsidR="00D04317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quarter</w:t>
      </w:r>
      <w:r w:rsidR="00D04317"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 xml:space="preserve"> 202</w:t>
      </w:r>
      <w:r w:rsidR="00D04317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4</w:t>
      </w:r>
      <w:r w:rsidRPr="00A54FE9">
        <w:rPr>
          <w:rFonts w:ascii="Arial" w:hAnsi="Arial" w:cs="Arial"/>
          <w:bCs/>
          <w:i/>
          <w:color w:val="365F91" w:themeColor="accent1" w:themeShade="BF"/>
          <w:sz w:val="18"/>
          <w:szCs w:val="18"/>
          <w:lang w:val="en-US"/>
        </w:rPr>
        <w:t>)</w:t>
      </w:r>
    </w:p>
    <w:p w14:paraId="47BC7E40" w14:textId="1DC1457A" w:rsidR="000F6206" w:rsidRDefault="000F6206" w:rsidP="001B77FF">
      <w:pPr>
        <w:jc w:val="both"/>
        <w:rPr>
          <w:rFonts w:ascii="Arial" w:hAnsi="Arial"/>
          <w:color w:val="365F91" w:themeColor="accent1" w:themeShade="BF"/>
          <w:sz w:val="20"/>
          <w:szCs w:val="20"/>
          <w:lang w:val="en-US"/>
        </w:rPr>
      </w:pP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In the </w:t>
      </w:r>
      <w:r w:rsidR="00B82C6A">
        <w:rPr>
          <w:rFonts w:ascii="Arial" w:hAnsi="Arial"/>
          <w:color w:val="365F91" w:themeColor="accent1" w:themeShade="BF"/>
          <w:sz w:val="20"/>
          <w:szCs w:val="20"/>
          <w:lang w:val="en-US"/>
        </w:rPr>
        <w:t>second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quarter of 202</w:t>
      </w:r>
      <w:r w:rsidR="00D04317">
        <w:rPr>
          <w:rFonts w:ascii="Arial" w:hAnsi="Arial"/>
          <w:color w:val="365F91" w:themeColor="accent1" w:themeShade="BF"/>
          <w:sz w:val="20"/>
          <w:szCs w:val="20"/>
          <w:lang w:val="en-US"/>
        </w:rPr>
        <w:t>5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, the total volume of medic</w:t>
      </w:r>
      <w:r w:rsidR="00D04317">
        <w:rPr>
          <w:rFonts w:ascii="Arial" w:hAnsi="Arial"/>
          <w:color w:val="365F91" w:themeColor="accent1" w:themeShade="BF"/>
          <w:sz w:val="20"/>
          <w:szCs w:val="20"/>
          <w:lang w:val="en-US"/>
        </w:rPr>
        <w:t>ines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dispensed to patients reached 1</w:t>
      </w:r>
      <w:r w:rsidR="00B82C6A">
        <w:rPr>
          <w:rFonts w:ascii="Arial" w:hAnsi="Arial"/>
          <w:color w:val="365F91" w:themeColor="accent1" w:themeShade="BF"/>
          <w:sz w:val="20"/>
          <w:szCs w:val="20"/>
          <w:lang w:val="en-US"/>
        </w:rPr>
        <w:t>72.2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million units, marking a </w:t>
      </w:r>
      <w:r w:rsidR="00B82C6A">
        <w:rPr>
          <w:rFonts w:ascii="Arial" w:hAnsi="Arial"/>
          <w:color w:val="365F91" w:themeColor="accent1" w:themeShade="BF"/>
          <w:sz w:val="20"/>
          <w:szCs w:val="20"/>
          <w:lang w:val="en-US"/>
        </w:rPr>
        <w:t>1.1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% increase compared to the same quarter in 202</w:t>
      </w:r>
      <w:r w:rsidR="00D04317">
        <w:rPr>
          <w:rFonts w:ascii="Arial" w:hAnsi="Arial"/>
          <w:color w:val="365F91" w:themeColor="accent1" w:themeShade="BF"/>
          <w:sz w:val="20"/>
          <w:szCs w:val="20"/>
          <w:lang w:val="en-US"/>
        </w:rPr>
        <w:t>4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. This modest growth was primarily fueled by a </w:t>
      </w:r>
      <w:r w:rsidR="00B82C6A">
        <w:rPr>
          <w:rFonts w:ascii="Arial" w:hAnsi="Arial"/>
          <w:color w:val="365F91" w:themeColor="accent1" w:themeShade="BF"/>
          <w:sz w:val="20"/>
          <w:szCs w:val="20"/>
          <w:lang w:val="en-US"/>
        </w:rPr>
        <w:t>1.2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% rise in the retail channel, while hospital dispensations </w:t>
      </w:r>
      <w:r w:rsidR="00B82C6A">
        <w:rPr>
          <w:rFonts w:ascii="Arial" w:hAnsi="Arial"/>
          <w:color w:val="365F91" w:themeColor="accent1" w:themeShade="BF"/>
          <w:sz w:val="20"/>
          <w:szCs w:val="20"/>
          <w:lang w:val="en-US"/>
        </w:rPr>
        <w:t>declined by 1.0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%. Analyzing the segments, prescription medications in pharmacies </w:t>
      </w:r>
      <w:r w:rsidR="00B82C6A">
        <w:rPr>
          <w:rFonts w:ascii="Arial" w:hAnsi="Arial"/>
          <w:color w:val="365F91" w:themeColor="accent1" w:themeShade="BF"/>
          <w:sz w:val="20"/>
          <w:szCs w:val="20"/>
          <w:lang w:val="en-US"/>
        </w:rPr>
        <w:t>remained flat (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0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.2%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)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, whereas over-the-counter (OTC) products, which include both OTC drugs and nutritional supplements, saw a </w:t>
      </w:r>
      <w:r w:rsidR="00D04317">
        <w:rPr>
          <w:rFonts w:ascii="Arial" w:hAnsi="Arial"/>
          <w:color w:val="365F91" w:themeColor="accent1" w:themeShade="BF"/>
          <w:sz w:val="20"/>
          <w:szCs w:val="20"/>
          <w:lang w:val="en-US"/>
        </w:rPr>
        <w:t>small increase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of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3.0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%.</w:t>
      </w:r>
    </w:p>
    <w:p w14:paraId="7DEAB13F" w14:textId="77638AFC" w:rsidR="00174B9B" w:rsidRDefault="000F6206" w:rsidP="001B77FF">
      <w:pPr>
        <w:jc w:val="both"/>
        <w:rPr>
          <w:rFonts w:ascii="Arial" w:hAnsi="Arial"/>
          <w:color w:val="365F91" w:themeColor="accent1" w:themeShade="BF"/>
          <w:sz w:val="20"/>
          <w:szCs w:val="20"/>
          <w:lang w:val="en-US"/>
        </w:rPr>
      </w:pP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From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July</w:t>
      </w:r>
      <w:r w:rsidR="00594F2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2024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to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June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202</w:t>
      </w:r>
      <w:r w:rsidR="00594F26">
        <w:rPr>
          <w:rFonts w:ascii="Arial" w:hAnsi="Arial"/>
          <w:color w:val="365F91" w:themeColor="accent1" w:themeShade="BF"/>
          <w:sz w:val="20"/>
          <w:szCs w:val="20"/>
          <w:lang w:val="en-US"/>
        </w:rPr>
        <w:t>5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, the total volume of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medicines and food supplements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dispensed to Romanian patients reached 71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7.3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million units, </w:t>
      </w:r>
      <w:r w:rsidR="005E2763" w:rsidRPr="005E2763">
        <w:rPr>
          <w:rFonts w:ascii="Arial" w:hAnsi="Arial"/>
          <w:color w:val="365F91" w:themeColor="accent1" w:themeShade="BF"/>
          <w:sz w:val="20"/>
          <w:szCs w:val="20"/>
          <w:lang w:val="en-US"/>
        </w:rPr>
        <w:t>0.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8</w:t>
      </w:r>
      <w:r w:rsidR="005E2763" w:rsidRPr="005E2763">
        <w:rPr>
          <w:rFonts w:ascii="Arial" w:hAnsi="Arial"/>
          <w:color w:val="365F91" w:themeColor="accent1" w:themeShade="BF"/>
          <w:sz w:val="20"/>
          <w:szCs w:val="20"/>
          <w:lang w:val="en-US"/>
        </w:rPr>
        <w:t>%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more than the dispensing volume </w:t>
      </w:r>
      <w:r w:rsidR="005E2763" w:rsidRPr="005E2763">
        <w:rPr>
          <w:rFonts w:ascii="Arial" w:hAnsi="Arial"/>
          <w:color w:val="365F91" w:themeColor="accent1" w:themeShade="BF"/>
          <w:sz w:val="20"/>
          <w:szCs w:val="20"/>
          <w:lang w:val="en-US"/>
        </w:rPr>
        <w:t>in the reference period (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July</w:t>
      </w:r>
      <w:r w:rsidR="005E2763" w:rsidRPr="005E2763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2023-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June</w:t>
      </w:r>
      <w:r w:rsidR="005E2763" w:rsidRPr="005E2763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2024)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. Prescription-based medicines (Rx) from pharmacies increased to 41</w:t>
      </w:r>
      <w:r w:rsidR="00DB7308">
        <w:rPr>
          <w:rFonts w:ascii="Arial" w:hAnsi="Arial"/>
          <w:color w:val="365F91" w:themeColor="accent1" w:themeShade="BF"/>
          <w:sz w:val="20"/>
          <w:szCs w:val="20"/>
          <w:lang w:val="en-US"/>
        </w:rPr>
        <w:t>9.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2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million units,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while 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Over-the-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C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ounter (OTC) products in pharmacies totaled 26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6.8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million units,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a small increase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of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1.1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% from the </w:t>
      </w:r>
      <w:r w:rsidR="004F5FA6">
        <w:rPr>
          <w:rFonts w:ascii="Arial" w:hAnsi="Arial"/>
          <w:color w:val="365F91" w:themeColor="accent1" w:themeShade="BF"/>
          <w:sz w:val="20"/>
          <w:szCs w:val="20"/>
          <w:lang w:val="en-US"/>
        </w:rPr>
        <w:t>reference period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. In contrast, the hospital segment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advanced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moderate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ly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, accounting for 31.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3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million units, 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>with a 4.9</w:t>
      </w:r>
      <w:r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%</w:t>
      </w:r>
      <w:r w:rsidR="004E52FA" w:rsidRP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</w:t>
      </w:r>
      <w:r w:rsidR="004E52FA" w:rsidRPr="000F6206">
        <w:rPr>
          <w:rFonts w:ascii="Arial" w:hAnsi="Arial"/>
          <w:color w:val="365F91" w:themeColor="accent1" w:themeShade="BF"/>
          <w:sz w:val="20"/>
          <w:szCs w:val="20"/>
          <w:lang w:val="en-US"/>
        </w:rPr>
        <w:t>growth</w:t>
      </w:r>
      <w:r w:rsidR="004E52FA">
        <w:rPr>
          <w:rFonts w:ascii="Arial" w:hAnsi="Arial"/>
          <w:color w:val="365F91" w:themeColor="accent1" w:themeShade="BF"/>
          <w:sz w:val="20"/>
          <w:szCs w:val="20"/>
          <w:lang w:val="en-US"/>
        </w:rPr>
        <w:t xml:space="preserve"> rate.</w:t>
      </w:r>
    </w:p>
    <w:p w14:paraId="61B1ED2A" w14:textId="77777777" w:rsidR="004E52FA" w:rsidRDefault="004E52FA" w:rsidP="001B77FF">
      <w:pPr>
        <w:jc w:val="both"/>
        <w:rPr>
          <w:rFonts w:ascii="Arial" w:hAnsi="Arial"/>
          <w:color w:val="365F91" w:themeColor="accent1" w:themeShade="BF"/>
          <w:sz w:val="20"/>
          <w:szCs w:val="20"/>
          <w:lang w:val="en-US"/>
        </w:rPr>
      </w:pPr>
    </w:p>
    <w:p w14:paraId="2401A431" w14:textId="69E4D230" w:rsidR="00DB24CC" w:rsidRPr="00066CD7" w:rsidRDefault="00DB24CC" w:rsidP="00066CD7">
      <w:pPr>
        <w:jc w:val="both"/>
        <w:rPr>
          <w:rFonts w:ascii="Arial" w:hAnsi="Arial"/>
          <w:color w:val="365F91" w:themeColor="accent1" w:themeShade="BF"/>
          <w:sz w:val="20"/>
          <w:szCs w:val="20"/>
          <w:lang w:val="en-US"/>
        </w:rPr>
      </w:pPr>
      <w:r w:rsidRPr="009D1DC3">
        <w:rPr>
          <w:rFonts w:ascii="Arial" w:hAnsi="Arial" w:cs="Arial"/>
          <w:b/>
          <w:bCs/>
          <w:color w:val="365F91" w:themeColor="accent1" w:themeShade="BF"/>
          <w:szCs w:val="22"/>
          <w:u w:val="single"/>
          <w:lang w:val="en-US"/>
        </w:rPr>
        <w:lastRenderedPageBreak/>
        <w:t>Market evolution in Value</w:t>
      </w:r>
      <w:r w:rsidR="001A5697">
        <w:rPr>
          <w:rFonts w:ascii="Arial" w:hAnsi="Arial" w:cs="Arial"/>
          <w:b/>
          <w:bCs/>
          <w:color w:val="365F91" w:themeColor="accent1" w:themeShade="BF"/>
          <w:szCs w:val="22"/>
          <w:u w:val="single"/>
          <w:lang w:val="en-US"/>
        </w:rPr>
        <w:t>*</w:t>
      </w:r>
    </w:p>
    <w:tbl>
      <w:tblPr>
        <w:tblW w:w="9697" w:type="dxa"/>
        <w:tblInd w:w="1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67"/>
        <w:gridCol w:w="900"/>
        <w:gridCol w:w="990"/>
        <w:gridCol w:w="1013"/>
        <w:gridCol w:w="1057"/>
        <w:gridCol w:w="900"/>
        <w:gridCol w:w="990"/>
        <w:gridCol w:w="900"/>
      </w:tblGrid>
      <w:tr w:rsidR="00484312" w:rsidRPr="000762D9" w14:paraId="520F3970" w14:textId="77777777" w:rsidTr="00BD277D">
        <w:trPr>
          <w:trHeight w:val="46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5561653" w14:textId="77777777" w:rsidR="00484312" w:rsidRPr="00066CD7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</w:p>
          <w:p w14:paraId="12A339E8" w14:textId="77777777" w:rsidR="00484312" w:rsidRPr="00066CD7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66CD7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 xml:space="preserve">Channel/ </w:t>
            </w:r>
          </w:p>
          <w:p w14:paraId="1AF14543" w14:textId="77777777" w:rsidR="00484312" w:rsidRPr="00066CD7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66CD7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Segment/</w:t>
            </w:r>
          </w:p>
          <w:p w14:paraId="34FAD5DC" w14:textId="77777777" w:rsidR="00484312" w:rsidRPr="00066CD7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66CD7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Contract</w:t>
            </w:r>
          </w:p>
          <w:p w14:paraId="15EB2D72" w14:textId="77777777" w:rsidR="00484312" w:rsidRPr="00066CD7" w:rsidRDefault="00484312" w:rsidP="0048431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66C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  <w:p w14:paraId="7A3B1DB1" w14:textId="77777777" w:rsidR="00484312" w:rsidRPr="00066CD7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48EF00BE" w14:textId="5BED909A" w:rsidR="00484312" w:rsidRPr="000B2E52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2</w:t>
            </w:r>
            <w:r w:rsidRPr="00484312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 xml:space="preserve"> </w:t>
            </w:r>
            <w:r w:rsidRPr="000762D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Quarter 20</w:t>
            </w: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25</w:t>
            </w:r>
          </w:p>
        </w:tc>
        <w:tc>
          <w:tcPr>
            <w:tcW w:w="3847" w:type="dxa"/>
            <w:gridSpan w:val="4"/>
            <w:vAlign w:val="center"/>
          </w:tcPr>
          <w:p w14:paraId="13FC532A" w14:textId="4FCB7C34" w:rsidR="00484312" w:rsidRPr="000B2E52" w:rsidRDefault="00484312" w:rsidP="0048431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val="en-US"/>
              </w:rPr>
              <w:t>MAT (2025-Q2)</w:t>
            </w:r>
          </w:p>
        </w:tc>
      </w:tr>
      <w:tr w:rsidR="003C4F55" w:rsidRPr="000762D9" w14:paraId="5AF3E03A" w14:textId="77777777" w:rsidTr="00BD277D">
        <w:trPr>
          <w:trHeight w:val="46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2D1B6CF5" w14:textId="77777777" w:rsidR="003C4F55" w:rsidRPr="00066CD7" w:rsidRDefault="003C4F55" w:rsidP="00B85210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</w:p>
        </w:tc>
        <w:tc>
          <w:tcPr>
            <w:tcW w:w="2857" w:type="dxa"/>
            <w:gridSpan w:val="3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102FC2BB" w14:textId="77777777" w:rsidR="003C4F55" w:rsidRPr="000B2E52" w:rsidRDefault="003C4F55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RON</w:t>
            </w:r>
          </w:p>
        </w:tc>
        <w:tc>
          <w:tcPr>
            <w:tcW w:w="1013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134E3D9A" w14:textId="77777777" w:rsidR="003C4F55" w:rsidRPr="000B2E52" w:rsidRDefault="003C4F55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EUR</w:t>
            </w:r>
          </w:p>
        </w:tc>
        <w:tc>
          <w:tcPr>
            <w:tcW w:w="2947" w:type="dxa"/>
            <w:gridSpan w:val="3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3B9E033B" w14:textId="77777777" w:rsidR="003C4F55" w:rsidRPr="000B2E52" w:rsidRDefault="003C4F55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RON</w:t>
            </w:r>
          </w:p>
        </w:tc>
        <w:tc>
          <w:tcPr>
            <w:tcW w:w="900" w:type="dxa"/>
            <w:tcBorders>
              <w:bottom w:val="single" w:sz="4" w:space="0" w:color="4F81BD" w:themeColor="accent1"/>
            </w:tcBorders>
            <w:shd w:val="clear" w:color="000000" w:fill="D3DFEE"/>
            <w:vAlign w:val="center"/>
          </w:tcPr>
          <w:p w14:paraId="37EEB072" w14:textId="77777777" w:rsidR="003C4F55" w:rsidRPr="000B2E52" w:rsidRDefault="003C4F55" w:rsidP="00B852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EUR</w:t>
            </w:r>
          </w:p>
        </w:tc>
      </w:tr>
      <w:tr w:rsidR="00DB24CC" w:rsidRPr="000762D9" w14:paraId="316BCBD1" w14:textId="77777777" w:rsidTr="00BD277D">
        <w:trPr>
          <w:trHeight w:val="144"/>
        </w:trPr>
        <w:tc>
          <w:tcPr>
            <w:tcW w:w="1980" w:type="dxa"/>
            <w:vMerge/>
            <w:shd w:val="clear" w:color="auto" w:fill="auto"/>
            <w:vAlign w:val="center"/>
          </w:tcPr>
          <w:p w14:paraId="58EDF09A" w14:textId="77777777" w:rsidR="00DB24CC" w:rsidRPr="00066CD7" w:rsidRDefault="00DB24CC" w:rsidP="00DB24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B34347D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CE7281" w14:textId="77777777" w:rsidR="00DB24CC" w:rsidRPr="000B2E52" w:rsidRDefault="00DB24CC" w:rsidP="00DB24CC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Market Share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0BA98F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Variation</w:t>
            </w:r>
          </w:p>
        </w:tc>
        <w:tc>
          <w:tcPr>
            <w:tcW w:w="1013" w:type="dxa"/>
            <w:vAlign w:val="center"/>
          </w:tcPr>
          <w:p w14:paraId="1574C5F8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057" w:type="dxa"/>
            <w:vAlign w:val="center"/>
          </w:tcPr>
          <w:p w14:paraId="3BDB67AD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900" w:type="dxa"/>
            <w:vAlign w:val="center"/>
          </w:tcPr>
          <w:p w14:paraId="6B25349B" w14:textId="77777777" w:rsidR="00DB24CC" w:rsidRPr="000B2E52" w:rsidRDefault="00DB24CC" w:rsidP="00DB24CC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val="en-US"/>
              </w:rPr>
              <w:t>Market Share</w:t>
            </w:r>
          </w:p>
        </w:tc>
        <w:tc>
          <w:tcPr>
            <w:tcW w:w="990" w:type="dxa"/>
            <w:vAlign w:val="center"/>
          </w:tcPr>
          <w:p w14:paraId="0D601992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Variation</w:t>
            </w:r>
          </w:p>
        </w:tc>
        <w:tc>
          <w:tcPr>
            <w:tcW w:w="900" w:type="dxa"/>
            <w:vAlign w:val="center"/>
          </w:tcPr>
          <w:p w14:paraId="3AC1A1DF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Value</w:t>
            </w:r>
          </w:p>
        </w:tc>
      </w:tr>
      <w:tr w:rsidR="00DB24CC" w:rsidRPr="000762D9" w14:paraId="2CD6E33C" w14:textId="77777777" w:rsidTr="00BD277D">
        <w:trPr>
          <w:trHeight w:val="144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0F76E8AC" w14:textId="77777777" w:rsidR="00DB24CC" w:rsidRPr="00066CD7" w:rsidRDefault="00DB24CC" w:rsidP="00DB24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FC8B67F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proofErr w:type="spellStart"/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mn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20DFFD4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(%)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1C2BC0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(%)</w:t>
            </w:r>
          </w:p>
        </w:tc>
        <w:tc>
          <w:tcPr>
            <w:tcW w:w="1013" w:type="dxa"/>
            <w:vAlign w:val="center"/>
          </w:tcPr>
          <w:p w14:paraId="79C74661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proofErr w:type="spellStart"/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mn</w:t>
            </w:r>
            <w:proofErr w:type="spellEnd"/>
          </w:p>
        </w:tc>
        <w:tc>
          <w:tcPr>
            <w:tcW w:w="1057" w:type="dxa"/>
            <w:vAlign w:val="center"/>
          </w:tcPr>
          <w:p w14:paraId="6CE3EB13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proofErr w:type="spellStart"/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mn</w:t>
            </w:r>
            <w:proofErr w:type="spellEnd"/>
          </w:p>
        </w:tc>
        <w:tc>
          <w:tcPr>
            <w:tcW w:w="900" w:type="dxa"/>
            <w:vAlign w:val="center"/>
          </w:tcPr>
          <w:p w14:paraId="7EBE3135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(%)</w:t>
            </w:r>
          </w:p>
        </w:tc>
        <w:tc>
          <w:tcPr>
            <w:tcW w:w="990" w:type="dxa"/>
            <w:vAlign w:val="center"/>
          </w:tcPr>
          <w:p w14:paraId="6172C174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(%)</w:t>
            </w:r>
          </w:p>
        </w:tc>
        <w:tc>
          <w:tcPr>
            <w:tcW w:w="900" w:type="dxa"/>
            <w:vAlign w:val="center"/>
          </w:tcPr>
          <w:p w14:paraId="0A745B15" w14:textId="77777777" w:rsidR="00DB24CC" w:rsidRPr="000B2E52" w:rsidRDefault="00DB24CC" w:rsidP="00DB24C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</w:pPr>
            <w:proofErr w:type="spellStart"/>
            <w:r w:rsidRPr="000B2E52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8"/>
                <w:szCs w:val="18"/>
                <w:lang w:val="en-US"/>
              </w:rPr>
              <w:t>mn</w:t>
            </w:r>
            <w:proofErr w:type="spellEnd"/>
          </w:p>
        </w:tc>
      </w:tr>
      <w:tr w:rsidR="00484312" w:rsidRPr="000762D9" w14:paraId="6B8AFDCE" w14:textId="77777777" w:rsidTr="004271C3">
        <w:trPr>
          <w:trHeight w:val="274"/>
        </w:trPr>
        <w:tc>
          <w:tcPr>
            <w:tcW w:w="1980" w:type="dxa"/>
            <w:shd w:val="clear" w:color="000000" w:fill="D3DFEE"/>
            <w:vAlign w:val="center"/>
            <w:hideMark/>
          </w:tcPr>
          <w:p w14:paraId="4AD84DE3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16"/>
                <w:szCs w:val="16"/>
                <w:lang w:val="en-US"/>
              </w:rPr>
            </w:pPr>
            <w:r w:rsidRPr="00E0314E">
              <w:rPr>
                <w:rFonts w:ascii="Arial" w:eastAsia="Times New Roman" w:hAnsi="Arial" w:cs="Arial"/>
                <w:b/>
                <w:bCs/>
                <w:color w:val="365F91"/>
                <w:sz w:val="16"/>
                <w:szCs w:val="16"/>
                <w:lang w:val="en-US"/>
              </w:rPr>
              <w:t>Total market</w:t>
            </w:r>
          </w:p>
        </w:tc>
        <w:tc>
          <w:tcPr>
            <w:tcW w:w="967" w:type="dxa"/>
            <w:shd w:val="clear" w:color="000000" w:fill="D3DFEE"/>
            <w:vAlign w:val="center"/>
          </w:tcPr>
          <w:p w14:paraId="6730D62E" w14:textId="5EA5D81C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9,202.1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57957EF2" w14:textId="30CD5518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100.0%</w:t>
            </w:r>
          </w:p>
        </w:tc>
        <w:tc>
          <w:tcPr>
            <w:tcW w:w="990" w:type="dxa"/>
            <w:shd w:val="clear" w:color="000000" w:fill="D3DFEE"/>
            <w:vAlign w:val="center"/>
            <w:hideMark/>
          </w:tcPr>
          <w:p w14:paraId="1D33FAC2" w14:textId="30C4B761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12.3%</w:t>
            </w:r>
          </w:p>
        </w:tc>
        <w:tc>
          <w:tcPr>
            <w:tcW w:w="1013" w:type="dxa"/>
            <w:shd w:val="clear" w:color="000000" w:fill="D3DFEE"/>
            <w:vAlign w:val="center"/>
          </w:tcPr>
          <w:p w14:paraId="6E27AD14" w14:textId="1B609B3E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1,829.2</w:t>
            </w:r>
          </w:p>
        </w:tc>
        <w:tc>
          <w:tcPr>
            <w:tcW w:w="1057" w:type="dxa"/>
            <w:shd w:val="clear" w:color="000000" w:fill="D3DFEE"/>
            <w:vAlign w:val="center"/>
          </w:tcPr>
          <w:p w14:paraId="0327D8D9" w14:textId="643050AB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36,214.6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2AB6A49F" w14:textId="47E88120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100.0%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3BD62C8C" w14:textId="6CC6EA45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13.2%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2277DDF6" w14:textId="2C93A456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7,258.1</w:t>
            </w:r>
          </w:p>
        </w:tc>
      </w:tr>
      <w:tr w:rsidR="00484312" w:rsidRPr="000762D9" w14:paraId="369F5AFA" w14:textId="77777777" w:rsidTr="004271C3">
        <w:trPr>
          <w:trHeight w:val="274"/>
        </w:trPr>
        <w:tc>
          <w:tcPr>
            <w:tcW w:w="1980" w:type="dxa"/>
            <w:shd w:val="clear" w:color="auto" w:fill="auto"/>
            <w:vAlign w:val="center"/>
            <w:hideMark/>
          </w:tcPr>
          <w:p w14:paraId="4E37C710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6"/>
                <w:szCs w:val="16"/>
                <w:lang w:val="en-US"/>
              </w:rPr>
            </w:pPr>
            <w:r w:rsidRPr="00E0314E">
              <w:rPr>
                <w:rFonts w:ascii="Arial" w:eastAsia="Times New Roman" w:hAnsi="Arial" w:cs="Arial"/>
                <w:b/>
                <w:bCs/>
                <w:i/>
                <w:iCs/>
                <w:color w:val="365F91"/>
                <w:sz w:val="16"/>
                <w:szCs w:val="16"/>
                <w:lang w:val="en-US"/>
              </w:rPr>
              <w:t>Retail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CDC9B23" w14:textId="37144684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7,727.0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385DE3" w14:textId="5DBDAF95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84.0%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76B4F0" w14:textId="656C9464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12.2%</w:t>
            </w:r>
          </w:p>
        </w:tc>
        <w:tc>
          <w:tcPr>
            <w:tcW w:w="1013" w:type="dxa"/>
            <w:vAlign w:val="center"/>
          </w:tcPr>
          <w:p w14:paraId="14085579" w14:textId="1FE2168A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1,536.0</w:t>
            </w:r>
          </w:p>
        </w:tc>
        <w:tc>
          <w:tcPr>
            <w:tcW w:w="1057" w:type="dxa"/>
            <w:vAlign w:val="center"/>
          </w:tcPr>
          <w:p w14:paraId="1EC3C738" w14:textId="3F8764C7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30,496.1</w:t>
            </w:r>
          </w:p>
        </w:tc>
        <w:tc>
          <w:tcPr>
            <w:tcW w:w="900" w:type="dxa"/>
            <w:vAlign w:val="center"/>
          </w:tcPr>
          <w:p w14:paraId="57BE7507" w14:textId="3075EA3D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84.2%</w:t>
            </w:r>
          </w:p>
        </w:tc>
        <w:tc>
          <w:tcPr>
            <w:tcW w:w="990" w:type="dxa"/>
            <w:vAlign w:val="center"/>
          </w:tcPr>
          <w:p w14:paraId="409C6489" w14:textId="6465A512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12.0%</w:t>
            </w:r>
          </w:p>
        </w:tc>
        <w:tc>
          <w:tcPr>
            <w:tcW w:w="900" w:type="dxa"/>
            <w:vAlign w:val="center"/>
          </w:tcPr>
          <w:p w14:paraId="4AC9B130" w14:textId="48320C6C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6,112.0</w:t>
            </w:r>
          </w:p>
        </w:tc>
      </w:tr>
      <w:tr w:rsidR="00484312" w:rsidRPr="000762D9" w14:paraId="7B90BA8B" w14:textId="77777777" w:rsidTr="004271C3">
        <w:trPr>
          <w:trHeight w:val="274"/>
        </w:trPr>
        <w:tc>
          <w:tcPr>
            <w:tcW w:w="1980" w:type="dxa"/>
            <w:shd w:val="clear" w:color="000000" w:fill="D3DFEE"/>
            <w:vAlign w:val="center"/>
            <w:hideMark/>
          </w:tcPr>
          <w:p w14:paraId="1A71E8D0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16"/>
                <w:szCs w:val="16"/>
                <w:lang w:val="en-US"/>
              </w:rPr>
            </w:pPr>
            <w:r w:rsidRPr="00E0314E">
              <w:rPr>
                <w:rFonts w:ascii="Arial" w:eastAsia="Times New Roman" w:hAnsi="Arial" w:cs="Arial"/>
                <w:b/>
                <w:bCs/>
                <w:color w:val="365F91"/>
                <w:sz w:val="16"/>
                <w:szCs w:val="16"/>
                <w:lang w:val="en-US"/>
              </w:rPr>
              <w:t>- Rx</w:t>
            </w:r>
          </w:p>
        </w:tc>
        <w:tc>
          <w:tcPr>
            <w:tcW w:w="967" w:type="dxa"/>
            <w:shd w:val="clear" w:color="000000" w:fill="D3DFEE"/>
            <w:vAlign w:val="center"/>
          </w:tcPr>
          <w:p w14:paraId="1EFD2BB0" w14:textId="431354D0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5,705.5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7181B449" w14:textId="3288DB04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62.0%</w:t>
            </w:r>
          </w:p>
        </w:tc>
        <w:tc>
          <w:tcPr>
            <w:tcW w:w="990" w:type="dxa"/>
            <w:shd w:val="clear" w:color="000000" w:fill="D3DFEE"/>
            <w:vAlign w:val="center"/>
            <w:hideMark/>
          </w:tcPr>
          <w:p w14:paraId="17EE3AF3" w14:textId="09A2EF42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12.8%</w:t>
            </w:r>
          </w:p>
        </w:tc>
        <w:tc>
          <w:tcPr>
            <w:tcW w:w="1013" w:type="dxa"/>
            <w:shd w:val="clear" w:color="000000" w:fill="D3DFEE"/>
            <w:vAlign w:val="center"/>
          </w:tcPr>
          <w:p w14:paraId="29583B72" w14:textId="57A997A3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1,134.1</w:t>
            </w:r>
          </w:p>
        </w:tc>
        <w:tc>
          <w:tcPr>
            <w:tcW w:w="1057" w:type="dxa"/>
            <w:shd w:val="clear" w:color="000000" w:fill="D3DFEE"/>
            <w:vAlign w:val="center"/>
          </w:tcPr>
          <w:p w14:paraId="38ED3C9C" w14:textId="202B2D85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22,068.5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003B0F5B" w14:textId="43853D1C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60.9%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74C8D200" w14:textId="59CF86BD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12.8%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572D2FD4" w14:textId="337E10F9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4,422.7</w:t>
            </w:r>
          </w:p>
        </w:tc>
      </w:tr>
      <w:tr w:rsidR="00484312" w:rsidRPr="000762D9" w14:paraId="49E4EBE4" w14:textId="77777777" w:rsidTr="00E63A0C">
        <w:trPr>
          <w:trHeight w:val="274"/>
        </w:trPr>
        <w:tc>
          <w:tcPr>
            <w:tcW w:w="1980" w:type="dxa"/>
            <w:shd w:val="clear" w:color="auto" w:fill="auto"/>
            <w:vAlign w:val="center"/>
            <w:hideMark/>
          </w:tcPr>
          <w:p w14:paraId="7A51613A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  <w:lang w:val="en-US"/>
              </w:rPr>
            </w:pPr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  <w:lang w:val="en-US"/>
              </w:rPr>
              <w:t>Rx – w/o contract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0BDC4B" w14:textId="065DE924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4,752.7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EE437" w14:textId="24313443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51.7%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55E9F2" w14:textId="609051E9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10.3%</w:t>
            </w:r>
          </w:p>
        </w:tc>
        <w:tc>
          <w:tcPr>
            <w:tcW w:w="1013" w:type="dxa"/>
            <w:vAlign w:val="center"/>
          </w:tcPr>
          <w:p w14:paraId="45FCCC32" w14:textId="5BC5C4E5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944.7</w:t>
            </w:r>
          </w:p>
        </w:tc>
        <w:tc>
          <w:tcPr>
            <w:tcW w:w="1057" w:type="dxa"/>
            <w:vAlign w:val="center"/>
          </w:tcPr>
          <w:p w14:paraId="0E32677E" w14:textId="4D1F7595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18,488.2</w:t>
            </w:r>
          </w:p>
        </w:tc>
        <w:tc>
          <w:tcPr>
            <w:tcW w:w="900" w:type="dxa"/>
            <w:vAlign w:val="center"/>
          </w:tcPr>
          <w:p w14:paraId="3EB911A2" w14:textId="2CD0ABAA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51.1%</w:t>
            </w:r>
          </w:p>
        </w:tc>
        <w:tc>
          <w:tcPr>
            <w:tcW w:w="990" w:type="dxa"/>
            <w:vAlign w:val="center"/>
          </w:tcPr>
          <w:p w14:paraId="5CE64AEB" w14:textId="7772178D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11.1%</w:t>
            </w:r>
          </w:p>
        </w:tc>
        <w:tc>
          <w:tcPr>
            <w:tcW w:w="900" w:type="dxa"/>
            <w:vAlign w:val="center"/>
          </w:tcPr>
          <w:p w14:paraId="09D4F5C3" w14:textId="4AEEC0A7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3,705.2</w:t>
            </w:r>
          </w:p>
        </w:tc>
      </w:tr>
      <w:tr w:rsidR="00484312" w:rsidRPr="000762D9" w14:paraId="7BD51A28" w14:textId="77777777" w:rsidTr="00E63A0C">
        <w:trPr>
          <w:trHeight w:val="274"/>
        </w:trPr>
        <w:tc>
          <w:tcPr>
            <w:tcW w:w="1980" w:type="dxa"/>
            <w:shd w:val="clear" w:color="000000" w:fill="D3DFEE"/>
            <w:vAlign w:val="center"/>
            <w:hideMark/>
          </w:tcPr>
          <w:p w14:paraId="6E3A708D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</w:pPr>
            <w:proofErr w:type="spellStart"/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  <w:t>Rx</w:t>
            </w:r>
            <w:proofErr w:type="spellEnd"/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  <w:t xml:space="preserve"> – CVR </w:t>
            </w:r>
            <w:proofErr w:type="spellStart"/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  <w:t>contract</w:t>
            </w:r>
            <w:proofErr w:type="spellEnd"/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shd w:val="clear" w:color="000000" w:fill="D3DFEE"/>
            <w:vAlign w:val="center"/>
          </w:tcPr>
          <w:p w14:paraId="52FCD28C" w14:textId="4461933F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69.0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4826327B" w14:textId="79EBDFCC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0.8%</w:t>
            </w:r>
          </w:p>
        </w:tc>
        <w:tc>
          <w:tcPr>
            <w:tcW w:w="990" w:type="dxa"/>
            <w:shd w:val="clear" w:color="000000" w:fill="D3DFEE"/>
            <w:vAlign w:val="center"/>
            <w:hideMark/>
          </w:tcPr>
          <w:p w14:paraId="7C6B688E" w14:textId="2D65D2BB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31.8%</w:t>
            </w:r>
          </w:p>
        </w:tc>
        <w:tc>
          <w:tcPr>
            <w:tcW w:w="1013" w:type="dxa"/>
            <w:shd w:val="clear" w:color="000000" w:fill="D3DFEE"/>
            <w:vAlign w:val="center"/>
          </w:tcPr>
          <w:p w14:paraId="3F97018D" w14:textId="6E5AA3C9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13.8</w:t>
            </w:r>
          </w:p>
        </w:tc>
        <w:tc>
          <w:tcPr>
            <w:tcW w:w="1057" w:type="dxa"/>
            <w:shd w:val="clear" w:color="000000" w:fill="D3DFEE"/>
            <w:vAlign w:val="center"/>
          </w:tcPr>
          <w:p w14:paraId="1F2362B4" w14:textId="0CDD7A41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383.0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2B8E5D1F" w14:textId="07B85BC2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1.1%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0F973DEA" w14:textId="3EF74A61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0.1%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382EF0B5" w14:textId="27A7BE85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76.9</w:t>
            </w:r>
          </w:p>
        </w:tc>
      </w:tr>
      <w:tr w:rsidR="00484312" w:rsidRPr="000762D9" w14:paraId="4C7B02EA" w14:textId="77777777" w:rsidTr="00E63A0C">
        <w:trPr>
          <w:trHeight w:val="274"/>
        </w:trPr>
        <w:tc>
          <w:tcPr>
            <w:tcW w:w="1980" w:type="dxa"/>
            <w:shd w:val="clear" w:color="auto" w:fill="auto"/>
            <w:vAlign w:val="center"/>
            <w:hideMark/>
          </w:tcPr>
          <w:p w14:paraId="39595888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</w:pPr>
            <w:proofErr w:type="spellStart"/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  <w:t>Rx</w:t>
            </w:r>
            <w:proofErr w:type="spellEnd"/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  <w:t xml:space="preserve"> – CV </w:t>
            </w:r>
            <w:proofErr w:type="spellStart"/>
            <w:r w:rsidRPr="00E0314E">
              <w:rPr>
                <w:rFonts w:ascii="Arial" w:eastAsia="Times New Roman" w:hAnsi="Arial" w:cs="Arial"/>
                <w:bCs/>
                <w:i/>
                <w:color w:val="365F91"/>
                <w:sz w:val="16"/>
                <w:szCs w:val="16"/>
              </w:rPr>
              <w:t>contract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14:paraId="33A637BE" w14:textId="6944C2EA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883.8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B541CD" w14:textId="6666D8CF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9.6%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AA1DC7" w14:textId="7DFBB680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26.5%</w:t>
            </w:r>
          </w:p>
        </w:tc>
        <w:tc>
          <w:tcPr>
            <w:tcW w:w="1013" w:type="dxa"/>
            <w:vAlign w:val="center"/>
          </w:tcPr>
          <w:p w14:paraId="27454000" w14:textId="0DF6799B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175.7</w:t>
            </w:r>
          </w:p>
        </w:tc>
        <w:tc>
          <w:tcPr>
            <w:tcW w:w="1057" w:type="dxa"/>
            <w:vAlign w:val="center"/>
          </w:tcPr>
          <w:p w14:paraId="26B4F846" w14:textId="43A3E6AE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3,197.3</w:t>
            </w:r>
          </w:p>
        </w:tc>
        <w:tc>
          <w:tcPr>
            <w:tcW w:w="900" w:type="dxa"/>
            <w:vAlign w:val="center"/>
          </w:tcPr>
          <w:p w14:paraId="07A558B8" w14:textId="02653E9C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8.8%</w:t>
            </w:r>
          </w:p>
        </w:tc>
        <w:tc>
          <w:tcPr>
            <w:tcW w:w="990" w:type="dxa"/>
            <w:vAlign w:val="center"/>
          </w:tcPr>
          <w:p w14:paraId="6D4942AA" w14:textId="3560AA5C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25.7%</w:t>
            </w:r>
          </w:p>
        </w:tc>
        <w:tc>
          <w:tcPr>
            <w:tcW w:w="900" w:type="dxa"/>
            <w:vAlign w:val="center"/>
          </w:tcPr>
          <w:p w14:paraId="2E8F59F6" w14:textId="01D583F8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Cs/>
                <w:i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i/>
                <w:iCs/>
                <w:color w:val="365F91"/>
                <w:sz w:val="16"/>
                <w:szCs w:val="16"/>
              </w:rPr>
              <w:t>640.6</w:t>
            </w:r>
          </w:p>
        </w:tc>
      </w:tr>
      <w:tr w:rsidR="00484312" w:rsidRPr="00D034A3" w14:paraId="3A8C2D8D" w14:textId="77777777" w:rsidTr="004271C3">
        <w:trPr>
          <w:trHeight w:val="274"/>
        </w:trPr>
        <w:tc>
          <w:tcPr>
            <w:tcW w:w="1980" w:type="dxa"/>
            <w:shd w:val="clear" w:color="000000" w:fill="D3DFEE"/>
            <w:vAlign w:val="center"/>
            <w:hideMark/>
          </w:tcPr>
          <w:p w14:paraId="262BAEF7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color w:val="365F91"/>
                <w:sz w:val="16"/>
                <w:szCs w:val="16"/>
                <w:lang w:val="en-US"/>
              </w:rPr>
            </w:pPr>
            <w:r w:rsidRPr="00E0314E">
              <w:rPr>
                <w:rFonts w:ascii="Arial" w:eastAsia="Times New Roman" w:hAnsi="Arial" w:cs="Arial"/>
                <w:b/>
                <w:bCs/>
                <w:color w:val="365F91"/>
                <w:sz w:val="16"/>
                <w:szCs w:val="16"/>
                <w:lang w:val="en-US"/>
              </w:rPr>
              <w:t>- OTC</w:t>
            </w:r>
          </w:p>
        </w:tc>
        <w:tc>
          <w:tcPr>
            <w:tcW w:w="967" w:type="dxa"/>
            <w:shd w:val="clear" w:color="000000" w:fill="D3DFEE"/>
            <w:vAlign w:val="center"/>
          </w:tcPr>
          <w:p w14:paraId="74E3F90B" w14:textId="77348400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2,021.5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68D6077D" w14:textId="45DD4488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22.0%</w:t>
            </w:r>
          </w:p>
        </w:tc>
        <w:tc>
          <w:tcPr>
            <w:tcW w:w="990" w:type="dxa"/>
            <w:shd w:val="clear" w:color="000000" w:fill="D3DFEE"/>
            <w:vAlign w:val="center"/>
            <w:hideMark/>
          </w:tcPr>
          <w:p w14:paraId="75EA4735" w14:textId="55328892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10.7%</w:t>
            </w:r>
          </w:p>
        </w:tc>
        <w:tc>
          <w:tcPr>
            <w:tcW w:w="1013" w:type="dxa"/>
            <w:shd w:val="clear" w:color="000000" w:fill="D3DFEE"/>
            <w:vAlign w:val="center"/>
          </w:tcPr>
          <w:p w14:paraId="37BAC5AC" w14:textId="34B8FC13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401.9</w:t>
            </w:r>
          </w:p>
        </w:tc>
        <w:tc>
          <w:tcPr>
            <w:tcW w:w="1057" w:type="dxa"/>
            <w:shd w:val="clear" w:color="000000" w:fill="D3DFEE"/>
            <w:vAlign w:val="center"/>
          </w:tcPr>
          <w:p w14:paraId="133E366C" w14:textId="37AB2A10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8,427.6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54BA8607" w14:textId="36F9F2E1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23.3%</w:t>
            </w:r>
          </w:p>
        </w:tc>
        <w:tc>
          <w:tcPr>
            <w:tcW w:w="990" w:type="dxa"/>
            <w:shd w:val="clear" w:color="000000" w:fill="D3DFEE"/>
            <w:vAlign w:val="center"/>
          </w:tcPr>
          <w:p w14:paraId="12B4AE9C" w14:textId="244A60AA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9.9%</w:t>
            </w:r>
          </w:p>
        </w:tc>
        <w:tc>
          <w:tcPr>
            <w:tcW w:w="900" w:type="dxa"/>
            <w:shd w:val="clear" w:color="000000" w:fill="D3DFEE"/>
            <w:vAlign w:val="center"/>
          </w:tcPr>
          <w:p w14:paraId="389B5803" w14:textId="3C797464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1,689.4</w:t>
            </w:r>
          </w:p>
        </w:tc>
      </w:tr>
      <w:tr w:rsidR="00484312" w:rsidRPr="00D034A3" w14:paraId="4E550089" w14:textId="77777777" w:rsidTr="004271C3">
        <w:trPr>
          <w:trHeight w:val="274"/>
        </w:trPr>
        <w:tc>
          <w:tcPr>
            <w:tcW w:w="1980" w:type="dxa"/>
            <w:shd w:val="clear" w:color="auto" w:fill="auto"/>
            <w:vAlign w:val="center"/>
            <w:hideMark/>
          </w:tcPr>
          <w:p w14:paraId="2EBC587C" w14:textId="77777777" w:rsidR="00484312" w:rsidRPr="00E0314E" w:rsidRDefault="00484312" w:rsidP="00484312">
            <w:pPr>
              <w:spacing w:after="0"/>
              <w:rPr>
                <w:rFonts w:ascii="Arial" w:eastAsia="Times New Roman" w:hAnsi="Arial" w:cs="Arial"/>
                <w:b/>
                <w:bCs/>
                <w:i/>
                <w:color w:val="365F91"/>
                <w:sz w:val="16"/>
                <w:szCs w:val="16"/>
                <w:lang w:val="en-US"/>
              </w:rPr>
            </w:pPr>
            <w:r w:rsidRPr="00E0314E">
              <w:rPr>
                <w:rFonts w:ascii="Arial" w:eastAsia="Times New Roman" w:hAnsi="Arial" w:cs="Arial"/>
                <w:b/>
                <w:bCs/>
                <w:i/>
                <w:color w:val="365F91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A9B53DC" w14:textId="1A72EC3C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1,475.1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ECC4FD" w14:textId="6BF34A63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16.0%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4DDBE1" w14:textId="2A73089D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12.5%</w:t>
            </w:r>
          </w:p>
        </w:tc>
        <w:tc>
          <w:tcPr>
            <w:tcW w:w="1013" w:type="dxa"/>
            <w:vAlign w:val="center"/>
          </w:tcPr>
          <w:p w14:paraId="1EF90289" w14:textId="45DD6D59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293.2</w:t>
            </w:r>
          </w:p>
        </w:tc>
        <w:tc>
          <w:tcPr>
            <w:tcW w:w="1057" w:type="dxa"/>
            <w:vAlign w:val="center"/>
          </w:tcPr>
          <w:p w14:paraId="51E2F34C" w14:textId="5AB8C7F9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5,718.5</w:t>
            </w:r>
          </w:p>
        </w:tc>
        <w:tc>
          <w:tcPr>
            <w:tcW w:w="900" w:type="dxa"/>
            <w:vAlign w:val="center"/>
          </w:tcPr>
          <w:p w14:paraId="0A9C86ED" w14:textId="1C5954C4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15.8%</w:t>
            </w:r>
          </w:p>
        </w:tc>
        <w:tc>
          <w:tcPr>
            <w:tcW w:w="990" w:type="dxa"/>
            <w:vAlign w:val="center"/>
          </w:tcPr>
          <w:p w14:paraId="31F0DD2F" w14:textId="1B112E10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20.3%</w:t>
            </w:r>
          </w:p>
        </w:tc>
        <w:tc>
          <w:tcPr>
            <w:tcW w:w="900" w:type="dxa"/>
            <w:vAlign w:val="center"/>
          </w:tcPr>
          <w:p w14:paraId="00621890" w14:textId="7DDC70B9" w:rsidR="00484312" w:rsidRPr="00484312" w:rsidRDefault="00484312" w:rsidP="00484312">
            <w:pPr>
              <w:spacing w:after="0"/>
              <w:jc w:val="center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i/>
                <w:iCs/>
                <w:color w:val="365F91"/>
                <w:sz w:val="16"/>
                <w:szCs w:val="16"/>
              </w:rPr>
              <w:t>1,146.0</w:t>
            </w:r>
          </w:p>
        </w:tc>
      </w:tr>
    </w:tbl>
    <w:p w14:paraId="2E0278C4" w14:textId="044F930A" w:rsidR="00CF4471" w:rsidRDefault="001A5697" w:rsidP="001A5697">
      <w:pPr>
        <w:pStyle w:val="BodyText"/>
        <w:keepNext/>
        <w:tabs>
          <w:tab w:val="left" w:pos="810"/>
        </w:tabs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</w:pP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*values calculated a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t PPP (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P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harmacy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 xml:space="preserve"> P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urch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a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 xml:space="preserve">se 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P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rice) level</w:t>
      </w:r>
    </w:p>
    <w:p w14:paraId="6E8CE414" w14:textId="77777777" w:rsidR="001A5697" w:rsidRPr="001A5697" w:rsidRDefault="001A5697" w:rsidP="001A5697">
      <w:pPr>
        <w:pStyle w:val="BodyText"/>
        <w:keepNext/>
        <w:tabs>
          <w:tab w:val="left" w:pos="810"/>
        </w:tabs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</w:pPr>
    </w:p>
    <w:p w14:paraId="66749511" w14:textId="6558EC18" w:rsidR="004F5FA6" w:rsidRDefault="00947145" w:rsidP="001B77FF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  <w:r w:rsidRPr="004F5FA6">
        <w:rPr>
          <w:color w:val="365F91" w:themeColor="accent1" w:themeShade="BF"/>
          <w:sz w:val="20"/>
          <w:lang w:val="en-US"/>
        </w:rPr>
        <w:t xml:space="preserve">In </w:t>
      </w:r>
      <w:r>
        <w:rPr>
          <w:color w:val="365F91" w:themeColor="accent1" w:themeShade="BF"/>
          <w:sz w:val="20"/>
          <w:lang w:val="en-US"/>
        </w:rPr>
        <w:t xml:space="preserve">the </w:t>
      </w:r>
      <w:r w:rsidR="00B8418F">
        <w:rPr>
          <w:color w:val="365F91" w:themeColor="accent1" w:themeShade="BF"/>
          <w:sz w:val="20"/>
          <w:lang w:val="en-US"/>
        </w:rPr>
        <w:t>second</w:t>
      </w:r>
      <w:r>
        <w:rPr>
          <w:color w:val="365F91" w:themeColor="accent1" w:themeShade="BF"/>
          <w:sz w:val="20"/>
          <w:lang w:val="en-US"/>
        </w:rPr>
        <w:t xml:space="preserve"> quarter of</w:t>
      </w:r>
      <w:r w:rsidRPr="004F5FA6">
        <w:rPr>
          <w:color w:val="365F91" w:themeColor="accent1" w:themeShade="BF"/>
          <w:sz w:val="20"/>
          <w:lang w:val="en-US"/>
        </w:rPr>
        <w:t xml:space="preserve"> 2025, the total value of medicines dispensed to patients amounted to </w:t>
      </w:r>
      <w:r>
        <w:rPr>
          <w:color w:val="365F91" w:themeColor="accent1" w:themeShade="BF"/>
          <w:sz w:val="20"/>
          <w:lang w:val="en-US"/>
        </w:rPr>
        <w:t xml:space="preserve">RON </w:t>
      </w:r>
      <w:r w:rsidRPr="004F5FA6">
        <w:rPr>
          <w:color w:val="365F91" w:themeColor="accent1" w:themeShade="BF"/>
          <w:sz w:val="20"/>
          <w:lang w:val="en-US"/>
        </w:rPr>
        <w:t xml:space="preserve">9.2 billion lei, </w:t>
      </w:r>
      <w:r w:rsidR="003D4A26">
        <w:rPr>
          <w:color w:val="365F91" w:themeColor="accent1" w:themeShade="BF"/>
          <w:sz w:val="20"/>
          <w:lang w:val="en-US"/>
        </w:rPr>
        <w:t>12.3</w:t>
      </w:r>
      <w:r w:rsidRPr="004F5FA6">
        <w:rPr>
          <w:color w:val="365F91" w:themeColor="accent1" w:themeShade="BF"/>
          <w:sz w:val="20"/>
          <w:lang w:val="en-US"/>
        </w:rPr>
        <w:t xml:space="preserve">% up compared to </w:t>
      </w:r>
      <w:r>
        <w:rPr>
          <w:color w:val="365F91" w:themeColor="accent1" w:themeShade="BF"/>
          <w:sz w:val="20"/>
          <w:lang w:val="en-US"/>
        </w:rPr>
        <w:t xml:space="preserve">the </w:t>
      </w:r>
      <w:r w:rsidR="00B85421">
        <w:rPr>
          <w:color w:val="365F91" w:themeColor="accent1" w:themeShade="BF"/>
          <w:sz w:val="20"/>
          <w:lang w:val="en-US"/>
        </w:rPr>
        <w:t xml:space="preserve">second </w:t>
      </w:r>
      <w:r>
        <w:rPr>
          <w:color w:val="365F91" w:themeColor="accent1" w:themeShade="BF"/>
          <w:sz w:val="20"/>
          <w:lang w:val="en-US"/>
        </w:rPr>
        <w:t>quarter of</w:t>
      </w:r>
      <w:r w:rsidRPr="004F5FA6">
        <w:rPr>
          <w:color w:val="365F91" w:themeColor="accent1" w:themeShade="BF"/>
          <w:sz w:val="20"/>
          <w:lang w:val="en-US"/>
        </w:rPr>
        <w:t xml:space="preserve"> 2024</w:t>
      </w:r>
      <w:r w:rsidR="001B77FF" w:rsidRPr="001B77FF">
        <w:rPr>
          <w:color w:val="365F91" w:themeColor="accent1" w:themeShade="BF"/>
          <w:sz w:val="20"/>
          <w:lang w:val="en-US"/>
        </w:rPr>
        <w:t xml:space="preserve">. This growth was driven by a </w:t>
      </w:r>
      <w:r w:rsidR="00F25E95">
        <w:rPr>
          <w:color w:val="365F91" w:themeColor="accent1" w:themeShade="BF"/>
          <w:sz w:val="20"/>
          <w:lang w:val="en-US"/>
        </w:rPr>
        <w:t>1</w:t>
      </w:r>
      <w:r>
        <w:rPr>
          <w:color w:val="365F91" w:themeColor="accent1" w:themeShade="BF"/>
          <w:sz w:val="20"/>
          <w:lang w:val="en-US"/>
        </w:rPr>
        <w:t>2</w:t>
      </w:r>
      <w:r w:rsidR="00F25E95">
        <w:rPr>
          <w:color w:val="365F91" w:themeColor="accent1" w:themeShade="BF"/>
          <w:sz w:val="20"/>
          <w:lang w:val="en-US"/>
        </w:rPr>
        <w:t>.</w:t>
      </w:r>
      <w:r w:rsidR="00B85421">
        <w:rPr>
          <w:color w:val="365F91" w:themeColor="accent1" w:themeShade="BF"/>
          <w:sz w:val="20"/>
          <w:lang w:val="en-US"/>
        </w:rPr>
        <w:t>2</w:t>
      </w:r>
      <w:r w:rsidR="001B77FF" w:rsidRPr="001B77FF">
        <w:rPr>
          <w:color w:val="365F91" w:themeColor="accent1" w:themeShade="BF"/>
          <w:sz w:val="20"/>
          <w:lang w:val="en-US"/>
        </w:rPr>
        <w:t xml:space="preserve">% increase in the retail sector and a </w:t>
      </w:r>
      <w:r w:rsidR="00B85421">
        <w:rPr>
          <w:color w:val="365F91" w:themeColor="accent1" w:themeShade="BF"/>
          <w:sz w:val="20"/>
          <w:lang w:val="en-US"/>
        </w:rPr>
        <w:t>12.5</w:t>
      </w:r>
      <w:r w:rsidR="001B77FF" w:rsidRPr="001B77FF">
        <w:rPr>
          <w:color w:val="365F91" w:themeColor="accent1" w:themeShade="BF"/>
          <w:sz w:val="20"/>
          <w:lang w:val="en-US"/>
        </w:rPr>
        <w:t xml:space="preserve">% increase in hospital dispensations. Within the retail channel, the value of prescription (Rx) medicines rose by </w:t>
      </w:r>
      <w:r w:rsidR="00384C57">
        <w:rPr>
          <w:color w:val="365F91" w:themeColor="accent1" w:themeShade="BF"/>
          <w:sz w:val="20"/>
          <w:lang w:val="en-US"/>
        </w:rPr>
        <w:t>1</w:t>
      </w:r>
      <w:r>
        <w:rPr>
          <w:color w:val="365F91" w:themeColor="accent1" w:themeShade="BF"/>
          <w:sz w:val="20"/>
          <w:lang w:val="en-US"/>
        </w:rPr>
        <w:t>2.</w:t>
      </w:r>
      <w:r w:rsidR="00B85421">
        <w:rPr>
          <w:color w:val="365F91" w:themeColor="accent1" w:themeShade="BF"/>
          <w:sz w:val="20"/>
          <w:lang w:val="en-US"/>
        </w:rPr>
        <w:t>8</w:t>
      </w:r>
      <w:r w:rsidR="001B77FF" w:rsidRPr="001B77FF">
        <w:rPr>
          <w:color w:val="365F91" w:themeColor="accent1" w:themeShade="BF"/>
          <w:sz w:val="20"/>
          <w:lang w:val="en-US"/>
        </w:rPr>
        <w:t xml:space="preserve">%, while over-the-counter (OTC) products increased by </w:t>
      </w:r>
      <w:r>
        <w:rPr>
          <w:color w:val="365F91" w:themeColor="accent1" w:themeShade="BF"/>
          <w:sz w:val="20"/>
          <w:lang w:val="en-US"/>
        </w:rPr>
        <w:t>1</w:t>
      </w:r>
      <w:r w:rsidR="00B85421">
        <w:rPr>
          <w:color w:val="365F91" w:themeColor="accent1" w:themeShade="BF"/>
          <w:sz w:val="20"/>
          <w:lang w:val="en-US"/>
        </w:rPr>
        <w:t>0.7</w:t>
      </w:r>
      <w:r w:rsidR="001B77FF" w:rsidRPr="001B77FF">
        <w:rPr>
          <w:color w:val="365F91" w:themeColor="accent1" w:themeShade="BF"/>
          <w:sz w:val="20"/>
          <w:lang w:val="en-US"/>
        </w:rPr>
        <w:t xml:space="preserve">%. Notably, retail Rx drugs </w:t>
      </w:r>
      <w:r w:rsidR="00D37B80">
        <w:rPr>
          <w:color w:val="365F91" w:themeColor="accent1" w:themeShade="BF"/>
          <w:sz w:val="20"/>
          <w:lang w:val="en-US"/>
        </w:rPr>
        <w:t>related to</w:t>
      </w:r>
      <w:r w:rsidR="001B77FF" w:rsidRPr="001B77FF">
        <w:rPr>
          <w:color w:val="365F91" w:themeColor="accent1" w:themeShade="BF"/>
          <w:sz w:val="20"/>
          <w:lang w:val="en-US"/>
        </w:rPr>
        <w:t xml:space="preserve"> cost-volume contracts increased by </w:t>
      </w:r>
      <w:r w:rsidR="00D37B80">
        <w:rPr>
          <w:color w:val="365F91" w:themeColor="accent1" w:themeShade="BF"/>
          <w:sz w:val="20"/>
          <w:lang w:val="en-US"/>
        </w:rPr>
        <w:t>2</w:t>
      </w:r>
      <w:r w:rsidR="00B85421">
        <w:rPr>
          <w:color w:val="365F91" w:themeColor="accent1" w:themeShade="BF"/>
          <w:sz w:val="20"/>
          <w:lang w:val="en-US"/>
        </w:rPr>
        <w:t>6.5</w:t>
      </w:r>
      <w:r w:rsidR="001B77FF" w:rsidRPr="001B77FF">
        <w:rPr>
          <w:color w:val="365F91" w:themeColor="accent1" w:themeShade="BF"/>
          <w:sz w:val="20"/>
          <w:lang w:val="en-US"/>
        </w:rPr>
        <w:t xml:space="preserve">%, while those under cost-volume-result contracts </w:t>
      </w:r>
      <w:r w:rsidR="00D37B80">
        <w:rPr>
          <w:color w:val="365F91" w:themeColor="accent1" w:themeShade="BF"/>
          <w:sz w:val="20"/>
          <w:lang w:val="en-US"/>
        </w:rPr>
        <w:t xml:space="preserve">advanced </w:t>
      </w:r>
      <w:r w:rsidR="001B77FF" w:rsidRPr="001B77FF">
        <w:rPr>
          <w:color w:val="365F91" w:themeColor="accent1" w:themeShade="BF"/>
          <w:sz w:val="20"/>
          <w:lang w:val="en-US"/>
        </w:rPr>
        <w:t xml:space="preserve">by </w:t>
      </w:r>
      <w:r w:rsidR="00B85421">
        <w:rPr>
          <w:color w:val="365F91" w:themeColor="accent1" w:themeShade="BF"/>
          <w:sz w:val="20"/>
          <w:lang w:val="en-US"/>
        </w:rPr>
        <w:t>31.8</w:t>
      </w:r>
      <w:r w:rsidR="001B77FF" w:rsidRPr="001B77FF">
        <w:rPr>
          <w:color w:val="365F91" w:themeColor="accent1" w:themeShade="BF"/>
          <w:sz w:val="20"/>
          <w:lang w:val="en-US"/>
        </w:rPr>
        <w:t>%. Other Rx medicines in retail advanced by 1</w:t>
      </w:r>
      <w:r w:rsidR="00D37B80">
        <w:rPr>
          <w:color w:val="365F91" w:themeColor="accent1" w:themeShade="BF"/>
          <w:sz w:val="20"/>
          <w:lang w:val="en-US"/>
        </w:rPr>
        <w:t>0.</w:t>
      </w:r>
      <w:r w:rsidR="00B85421">
        <w:rPr>
          <w:color w:val="365F91" w:themeColor="accent1" w:themeShade="BF"/>
          <w:sz w:val="20"/>
          <w:lang w:val="en-US"/>
        </w:rPr>
        <w:t>3</w:t>
      </w:r>
      <w:r w:rsidR="001B77FF" w:rsidRPr="001B77FF">
        <w:rPr>
          <w:color w:val="365F91" w:themeColor="accent1" w:themeShade="BF"/>
          <w:sz w:val="20"/>
          <w:lang w:val="en-US"/>
        </w:rPr>
        <w:t xml:space="preserve">% compared to </w:t>
      </w:r>
      <w:r w:rsidR="00D37B80">
        <w:rPr>
          <w:color w:val="365F91" w:themeColor="accent1" w:themeShade="BF"/>
          <w:sz w:val="20"/>
          <w:lang w:val="en-US"/>
        </w:rPr>
        <w:t xml:space="preserve">the </w:t>
      </w:r>
      <w:r w:rsidR="00B85421">
        <w:rPr>
          <w:color w:val="365F91" w:themeColor="accent1" w:themeShade="BF"/>
          <w:sz w:val="20"/>
          <w:lang w:val="en-US"/>
        </w:rPr>
        <w:t>second</w:t>
      </w:r>
      <w:r w:rsidR="00D37B80">
        <w:rPr>
          <w:color w:val="365F91" w:themeColor="accent1" w:themeShade="BF"/>
          <w:sz w:val="20"/>
          <w:lang w:val="en-US"/>
        </w:rPr>
        <w:t xml:space="preserve"> quarter of </w:t>
      </w:r>
      <w:r w:rsidR="00D37B80" w:rsidRPr="004F5FA6">
        <w:rPr>
          <w:color w:val="365F91" w:themeColor="accent1" w:themeShade="BF"/>
          <w:sz w:val="20"/>
          <w:lang w:val="en-US"/>
        </w:rPr>
        <w:t>2024.</w:t>
      </w:r>
    </w:p>
    <w:p w14:paraId="188256E2" w14:textId="77777777" w:rsidR="001B77FF" w:rsidRPr="001B77FF" w:rsidRDefault="001B77FF" w:rsidP="001B77FF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</w:p>
    <w:p w14:paraId="39F4C891" w14:textId="168C1E4F" w:rsidR="001B77FF" w:rsidRDefault="00B90022" w:rsidP="001B77FF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  <w:r>
        <w:rPr>
          <w:color w:val="365F91" w:themeColor="accent1" w:themeShade="BF"/>
          <w:sz w:val="20"/>
          <w:lang w:val="en-US"/>
        </w:rPr>
        <w:t>I</w:t>
      </w:r>
      <w:r w:rsidRPr="00B90022">
        <w:rPr>
          <w:color w:val="365F91" w:themeColor="accent1" w:themeShade="BF"/>
          <w:sz w:val="20"/>
          <w:lang w:val="en-US"/>
        </w:rPr>
        <w:t xml:space="preserve">n the last 12 months ended </w:t>
      </w:r>
      <w:r w:rsidR="002C4838">
        <w:rPr>
          <w:color w:val="365F91" w:themeColor="accent1" w:themeShade="BF"/>
          <w:sz w:val="20"/>
          <w:lang w:val="en-US"/>
        </w:rPr>
        <w:t>June</w:t>
      </w:r>
      <w:r w:rsidRPr="00B90022">
        <w:rPr>
          <w:color w:val="365F91" w:themeColor="accent1" w:themeShade="BF"/>
          <w:sz w:val="20"/>
          <w:lang w:val="en-US"/>
        </w:rPr>
        <w:t xml:space="preserve"> 2025</w:t>
      </w:r>
      <w:r w:rsidR="000B2E52" w:rsidRPr="000B2E52">
        <w:rPr>
          <w:color w:val="365F91" w:themeColor="accent1" w:themeShade="BF"/>
          <w:sz w:val="20"/>
          <w:lang w:val="en-US"/>
        </w:rPr>
        <w:t>, the total market value reached RON 3</w:t>
      </w:r>
      <w:r w:rsidR="002C4838">
        <w:rPr>
          <w:color w:val="365F91" w:themeColor="accent1" w:themeShade="BF"/>
          <w:sz w:val="20"/>
          <w:lang w:val="en-US"/>
        </w:rPr>
        <w:t>6</w:t>
      </w:r>
      <w:r>
        <w:rPr>
          <w:color w:val="365F91" w:themeColor="accent1" w:themeShade="BF"/>
          <w:sz w:val="20"/>
          <w:lang w:val="en-US"/>
        </w:rPr>
        <w:t>.2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billion, reflecting a 13.</w:t>
      </w:r>
      <w:r w:rsidR="002C4838">
        <w:rPr>
          <w:color w:val="365F91" w:themeColor="accent1" w:themeShade="BF"/>
          <w:sz w:val="20"/>
          <w:lang w:val="en-US"/>
        </w:rPr>
        <w:t>2</w:t>
      </w:r>
      <w:r w:rsidR="000B2E52" w:rsidRPr="000B2E52">
        <w:rPr>
          <w:color w:val="365F91" w:themeColor="accent1" w:themeShade="BF"/>
          <w:sz w:val="20"/>
          <w:lang w:val="en-US"/>
        </w:rPr>
        <w:t xml:space="preserve">% increase compared to </w:t>
      </w:r>
      <w:r w:rsidRPr="00B90022">
        <w:rPr>
          <w:color w:val="365F91" w:themeColor="accent1" w:themeShade="BF"/>
          <w:sz w:val="20"/>
          <w:lang w:val="en-US"/>
        </w:rPr>
        <w:t>the reference period (</w:t>
      </w:r>
      <w:r w:rsidR="002C4838">
        <w:rPr>
          <w:color w:val="365F91" w:themeColor="accent1" w:themeShade="BF"/>
          <w:sz w:val="20"/>
          <w:lang w:val="en-US"/>
        </w:rPr>
        <w:t>July</w:t>
      </w:r>
      <w:r w:rsidRPr="00B90022">
        <w:rPr>
          <w:color w:val="365F91" w:themeColor="accent1" w:themeShade="BF"/>
          <w:sz w:val="20"/>
          <w:lang w:val="en-US"/>
        </w:rPr>
        <w:t xml:space="preserve"> 2023-</w:t>
      </w:r>
      <w:r w:rsidR="002C4838">
        <w:rPr>
          <w:color w:val="365F91" w:themeColor="accent1" w:themeShade="BF"/>
          <w:sz w:val="20"/>
          <w:lang w:val="en-US"/>
        </w:rPr>
        <w:t>June</w:t>
      </w:r>
      <w:r w:rsidRPr="00B90022">
        <w:rPr>
          <w:color w:val="365F91" w:themeColor="accent1" w:themeShade="BF"/>
          <w:sz w:val="20"/>
          <w:lang w:val="en-US"/>
        </w:rPr>
        <w:t xml:space="preserve"> 2024).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Prescription-based medicines (Rx) from pharmacies generated RON </w:t>
      </w:r>
      <w:r w:rsidR="002C4838">
        <w:rPr>
          <w:color w:val="365F91" w:themeColor="accent1" w:themeShade="BF"/>
          <w:sz w:val="20"/>
          <w:lang w:val="en-US"/>
        </w:rPr>
        <w:t>22.1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billion, marking a 1</w:t>
      </w:r>
      <w:r>
        <w:rPr>
          <w:color w:val="365F91" w:themeColor="accent1" w:themeShade="BF"/>
          <w:sz w:val="20"/>
          <w:lang w:val="en-US"/>
        </w:rPr>
        <w:t>2.</w:t>
      </w:r>
      <w:r w:rsidR="002C4838">
        <w:rPr>
          <w:color w:val="365F91" w:themeColor="accent1" w:themeShade="BF"/>
          <w:sz w:val="20"/>
          <w:lang w:val="en-US"/>
        </w:rPr>
        <w:t>8</w:t>
      </w:r>
      <w:r w:rsidR="000B2E52" w:rsidRPr="000B2E52">
        <w:rPr>
          <w:color w:val="365F91" w:themeColor="accent1" w:themeShade="BF"/>
          <w:sz w:val="20"/>
          <w:lang w:val="en-US"/>
        </w:rPr>
        <w:t>% rise, while over-the-counter (OTC) products totaled RON 8.</w:t>
      </w:r>
      <w:r w:rsidR="002C4838">
        <w:rPr>
          <w:color w:val="365F91" w:themeColor="accent1" w:themeShade="BF"/>
          <w:sz w:val="20"/>
          <w:lang w:val="en-US"/>
        </w:rPr>
        <w:t>4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billion, which represents </w:t>
      </w:r>
      <w:r w:rsidR="00B12628" w:rsidRPr="000B2E52">
        <w:rPr>
          <w:color w:val="365F91" w:themeColor="accent1" w:themeShade="BF"/>
          <w:sz w:val="20"/>
          <w:lang w:val="en-US"/>
        </w:rPr>
        <w:t>an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</w:t>
      </w:r>
      <w:r w:rsidR="002C4838">
        <w:rPr>
          <w:color w:val="365F91" w:themeColor="accent1" w:themeShade="BF"/>
          <w:sz w:val="20"/>
          <w:lang w:val="en-US"/>
        </w:rPr>
        <w:t>9.9</w:t>
      </w:r>
      <w:r w:rsidR="000B2E52" w:rsidRPr="000B2E52">
        <w:rPr>
          <w:color w:val="365F91" w:themeColor="accent1" w:themeShade="BF"/>
          <w:sz w:val="20"/>
          <w:lang w:val="en-US"/>
        </w:rPr>
        <w:t>% increase. The hospital segment contributed RON 5.</w:t>
      </w:r>
      <w:r w:rsidR="002C4838">
        <w:rPr>
          <w:color w:val="365F91" w:themeColor="accent1" w:themeShade="BF"/>
          <w:sz w:val="20"/>
          <w:lang w:val="en-US"/>
        </w:rPr>
        <w:t>7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billion, demonstrating a significant growth of 2</w:t>
      </w:r>
      <w:r w:rsidR="002C4838">
        <w:rPr>
          <w:color w:val="365F91" w:themeColor="accent1" w:themeShade="BF"/>
          <w:sz w:val="20"/>
          <w:lang w:val="en-US"/>
        </w:rPr>
        <w:t>0.3</w:t>
      </w:r>
      <w:r w:rsidR="000B2E52" w:rsidRPr="000B2E52">
        <w:rPr>
          <w:color w:val="365F91" w:themeColor="accent1" w:themeShade="BF"/>
          <w:sz w:val="20"/>
          <w:lang w:val="en-US"/>
        </w:rPr>
        <w:t>%. When isolating the substantial effects of the CVR and CV programs, which amounted to RON 3.</w:t>
      </w:r>
      <w:r w:rsidR="002C4838">
        <w:rPr>
          <w:color w:val="365F91" w:themeColor="accent1" w:themeShade="BF"/>
          <w:sz w:val="20"/>
          <w:lang w:val="en-US"/>
        </w:rPr>
        <w:t>6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billion, the value of prescription medicines in retail pharmacies increased by 1</w:t>
      </w:r>
      <w:r w:rsidR="002C4838">
        <w:rPr>
          <w:color w:val="365F91" w:themeColor="accent1" w:themeShade="BF"/>
          <w:sz w:val="20"/>
          <w:lang w:val="en-US"/>
        </w:rPr>
        <w:t>1.1</w:t>
      </w:r>
      <w:r w:rsidR="000B2E52" w:rsidRPr="000B2E52">
        <w:rPr>
          <w:color w:val="365F91" w:themeColor="accent1" w:themeShade="BF"/>
          <w:sz w:val="20"/>
          <w:lang w:val="en-US"/>
        </w:rPr>
        <w:t>% from the previous year, reaching RON 1</w:t>
      </w:r>
      <w:r>
        <w:rPr>
          <w:color w:val="365F91" w:themeColor="accent1" w:themeShade="BF"/>
          <w:sz w:val="20"/>
          <w:lang w:val="en-US"/>
        </w:rPr>
        <w:t>8.</w:t>
      </w:r>
      <w:r w:rsidR="002C4838">
        <w:rPr>
          <w:color w:val="365F91" w:themeColor="accent1" w:themeShade="BF"/>
          <w:sz w:val="20"/>
          <w:lang w:val="en-US"/>
        </w:rPr>
        <w:t>49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billion (EUR 3.</w:t>
      </w:r>
      <w:r w:rsidR="002C4838">
        <w:rPr>
          <w:color w:val="365F91" w:themeColor="accent1" w:themeShade="BF"/>
          <w:sz w:val="20"/>
          <w:lang w:val="en-US"/>
        </w:rPr>
        <w:t>71</w:t>
      </w:r>
      <w:r w:rsidR="000B2E52" w:rsidRPr="000B2E52">
        <w:rPr>
          <w:color w:val="365F91" w:themeColor="accent1" w:themeShade="BF"/>
          <w:sz w:val="20"/>
          <w:lang w:val="en-US"/>
        </w:rPr>
        <w:t xml:space="preserve"> billion).</w:t>
      </w:r>
    </w:p>
    <w:p w14:paraId="5B242EA9" w14:textId="77777777" w:rsidR="000B2E52" w:rsidRPr="000762D9" w:rsidRDefault="000B2E52" w:rsidP="001B77FF">
      <w:pPr>
        <w:pStyle w:val="BodyText"/>
        <w:keepNext/>
        <w:tabs>
          <w:tab w:val="left" w:pos="810"/>
        </w:tabs>
        <w:rPr>
          <w:rFonts w:cs="Arial"/>
          <w:noProof/>
          <w:color w:val="365F91" w:themeColor="accent1" w:themeShade="BF"/>
          <w:sz w:val="20"/>
          <w:lang w:val="en-US"/>
        </w:rPr>
      </w:pPr>
    </w:p>
    <w:p w14:paraId="34E5FEC6" w14:textId="2372864B" w:rsidR="009D7D2C" w:rsidRPr="00E31928" w:rsidRDefault="004C0111" w:rsidP="009D7D2C">
      <w:pPr>
        <w:tabs>
          <w:tab w:val="left" w:pos="810"/>
          <w:tab w:val="left" w:pos="900"/>
        </w:tabs>
        <w:spacing w:after="0"/>
        <w:ind w:right="1"/>
        <w:jc w:val="both"/>
        <w:rPr>
          <w:rFonts w:ascii="Arial" w:hAnsi="Arial"/>
          <w:b/>
          <w:bCs/>
          <w:color w:val="365F91" w:themeColor="accent1" w:themeShade="BF"/>
          <w:u w:val="single"/>
          <w:lang w:val="en-US"/>
        </w:rPr>
      </w:pPr>
      <w:r w:rsidRPr="00E31928">
        <w:rPr>
          <w:rFonts w:ascii="Arial" w:hAnsi="Arial"/>
          <w:b/>
          <w:bCs/>
          <w:color w:val="365F91" w:themeColor="accent1" w:themeShade="BF"/>
          <w:u w:val="single"/>
          <w:lang w:val="en-US"/>
        </w:rPr>
        <w:t xml:space="preserve">Evolution of Main Therapeutic Groups in </w:t>
      </w:r>
      <w:r w:rsidR="00E31928" w:rsidRPr="00E31928">
        <w:rPr>
          <w:rFonts w:ascii="Arial" w:eastAsia="Times New Roman" w:hAnsi="Arial" w:cs="Arial"/>
          <w:b/>
          <w:bCs/>
          <w:color w:val="365F91"/>
          <w:u w:val="single"/>
          <w:lang w:val="en-US"/>
        </w:rPr>
        <w:t>MAT (2025-Q</w:t>
      </w:r>
      <w:r w:rsidR="00484312">
        <w:rPr>
          <w:rFonts w:ascii="Arial" w:eastAsia="Times New Roman" w:hAnsi="Arial" w:cs="Arial"/>
          <w:b/>
          <w:bCs/>
          <w:color w:val="365F91"/>
          <w:u w:val="single"/>
          <w:lang w:val="en-US"/>
        </w:rPr>
        <w:t>2</w:t>
      </w:r>
      <w:r w:rsidR="00E31928" w:rsidRPr="00E31928">
        <w:rPr>
          <w:rFonts w:ascii="Arial" w:eastAsia="Times New Roman" w:hAnsi="Arial" w:cs="Arial"/>
          <w:b/>
          <w:bCs/>
          <w:color w:val="365F91"/>
          <w:u w:val="single"/>
          <w:lang w:val="en-US"/>
        </w:rPr>
        <w:t>)</w:t>
      </w:r>
    </w:p>
    <w:p w14:paraId="2BC2E858" w14:textId="77777777" w:rsidR="004C0111" w:rsidRPr="000762D9" w:rsidRDefault="004C0111" w:rsidP="009D7D2C">
      <w:pPr>
        <w:tabs>
          <w:tab w:val="left" w:pos="810"/>
          <w:tab w:val="left" w:pos="900"/>
        </w:tabs>
        <w:spacing w:after="0"/>
        <w:ind w:right="1"/>
        <w:jc w:val="both"/>
        <w:rPr>
          <w:rFonts w:ascii="Arial" w:hAnsi="Arial" w:cs="Arial"/>
          <w:b/>
          <w:bCs/>
          <w:color w:val="365F91" w:themeColor="accent1" w:themeShade="BF"/>
          <w:szCs w:val="22"/>
          <w:u w:val="single"/>
          <w:lang w:val="en-US"/>
        </w:rPr>
      </w:pPr>
    </w:p>
    <w:tbl>
      <w:tblPr>
        <w:tblStyle w:val="LightGrid-Accent11"/>
        <w:tblW w:w="9558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706"/>
        <w:gridCol w:w="1190"/>
        <w:gridCol w:w="1037"/>
        <w:gridCol w:w="992"/>
        <w:gridCol w:w="1134"/>
        <w:gridCol w:w="1089"/>
        <w:gridCol w:w="990"/>
      </w:tblGrid>
      <w:tr w:rsidR="00575213" w:rsidRPr="00387F09" w14:paraId="44850DB8" w14:textId="77777777" w:rsidTr="008C4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Merge w:val="restart"/>
            <w:vAlign w:val="center"/>
            <w:hideMark/>
          </w:tcPr>
          <w:p w14:paraId="3FEDA5CE" w14:textId="77777777" w:rsidR="00575213" w:rsidRPr="00387F09" w:rsidRDefault="00575213" w:rsidP="00575213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</w:p>
          <w:p w14:paraId="1AFE9BE4" w14:textId="77777777" w:rsidR="00575213" w:rsidRPr="00387F09" w:rsidRDefault="00575213" w:rsidP="00575213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</w:p>
          <w:p w14:paraId="34AF3B51" w14:textId="77777777" w:rsidR="00575213" w:rsidRPr="00387F09" w:rsidRDefault="00575213" w:rsidP="00575213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</w:p>
          <w:p w14:paraId="418362D3" w14:textId="77777777" w:rsidR="00575213" w:rsidRPr="00387F09" w:rsidRDefault="00575213" w:rsidP="0046629B">
            <w:pPr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  <w:t>ATC1 Groups</w:t>
            </w:r>
          </w:p>
        </w:tc>
        <w:tc>
          <w:tcPr>
            <w:tcW w:w="2933" w:type="dxa"/>
            <w:gridSpan w:val="3"/>
            <w:vAlign w:val="center"/>
            <w:hideMark/>
          </w:tcPr>
          <w:p w14:paraId="68730EAB" w14:textId="77777777" w:rsidR="00575213" w:rsidRPr="00387F09" w:rsidRDefault="00575213" w:rsidP="0057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  <w:t>VOLUME</w:t>
            </w:r>
          </w:p>
        </w:tc>
        <w:tc>
          <w:tcPr>
            <w:tcW w:w="992" w:type="dxa"/>
            <w:vAlign w:val="center"/>
            <w:hideMark/>
          </w:tcPr>
          <w:p w14:paraId="2106A40B" w14:textId="77777777" w:rsidR="00575213" w:rsidRPr="00387F09" w:rsidRDefault="00575213" w:rsidP="0057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  <w:t>AVG. PRICE</w:t>
            </w:r>
          </w:p>
        </w:tc>
        <w:tc>
          <w:tcPr>
            <w:tcW w:w="3213" w:type="dxa"/>
            <w:gridSpan w:val="3"/>
            <w:vAlign w:val="center"/>
            <w:hideMark/>
          </w:tcPr>
          <w:p w14:paraId="16CFFF62" w14:textId="77777777" w:rsidR="00575213" w:rsidRPr="00387F09" w:rsidRDefault="00575213" w:rsidP="00575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  <w:t>PPP VALUE</w:t>
            </w:r>
          </w:p>
        </w:tc>
      </w:tr>
      <w:tr w:rsidR="00575213" w:rsidRPr="00387F09" w14:paraId="340CCB18" w14:textId="77777777" w:rsidTr="008C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Merge/>
            <w:vAlign w:val="center"/>
            <w:hideMark/>
          </w:tcPr>
          <w:p w14:paraId="3F6C31BF" w14:textId="77777777" w:rsidR="00575213" w:rsidRPr="00387F09" w:rsidRDefault="00575213" w:rsidP="00575213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vAlign w:val="center"/>
            <w:hideMark/>
          </w:tcPr>
          <w:p w14:paraId="34BD476D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proofErr w:type="spellStart"/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>mn</w:t>
            </w:r>
            <w:proofErr w:type="spellEnd"/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 xml:space="preserve"> units</w:t>
            </w:r>
          </w:p>
        </w:tc>
        <w:tc>
          <w:tcPr>
            <w:tcW w:w="1190" w:type="dxa"/>
            <w:vAlign w:val="center"/>
            <w:hideMark/>
          </w:tcPr>
          <w:p w14:paraId="5C69EEAC" w14:textId="452C3401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Market Share</w:t>
            </w:r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 xml:space="preserve"> </w:t>
            </w:r>
            <w:r w:rsidRPr="00387F09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6"/>
                <w:szCs w:val="16"/>
                <w:lang w:val="en-US"/>
              </w:rPr>
              <w:t>(%)</w:t>
            </w:r>
          </w:p>
        </w:tc>
        <w:tc>
          <w:tcPr>
            <w:tcW w:w="1037" w:type="dxa"/>
            <w:vAlign w:val="center"/>
            <w:hideMark/>
          </w:tcPr>
          <w:p w14:paraId="66F620A9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>Variation</w:t>
            </w:r>
          </w:p>
          <w:p w14:paraId="0B4FEDFB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6"/>
                <w:szCs w:val="16"/>
                <w:lang w:val="en-US"/>
              </w:rPr>
              <w:t>(+/- %)</w:t>
            </w:r>
          </w:p>
        </w:tc>
        <w:tc>
          <w:tcPr>
            <w:tcW w:w="992" w:type="dxa"/>
            <w:vAlign w:val="center"/>
            <w:hideMark/>
          </w:tcPr>
          <w:p w14:paraId="14696FF5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</w:p>
          <w:p w14:paraId="2BF8BF34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>RON</w:t>
            </w:r>
          </w:p>
        </w:tc>
        <w:tc>
          <w:tcPr>
            <w:tcW w:w="1134" w:type="dxa"/>
            <w:vAlign w:val="center"/>
            <w:hideMark/>
          </w:tcPr>
          <w:p w14:paraId="00CC0663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</w:p>
          <w:p w14:paraId="2E1DA4EF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proofErr w:type="spellStart"/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>mn</w:t>
            </w:r>
            <w:proofErr w:type="spellEnd"/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 xml:space="preserve"> RON</w:t>
            </w:r>
          </w:p>
        </w:tc>
        <w:tc>
          <w:tcPr>
            <w:tcW w:w="1089" w:type="dxa"/>
            <w:vAlign w:val="center"/>
            <w:hideMark/>
          </w:tcPr>
          <w:p w14:paraId="424D3BAB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Market Share</w:t>
            </w:r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 xml:space="preserve"> </w:t>
            </w:r>
            <w:r w:rsidRPr="00387F09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6"/>
                <w:szCs w:val="16"/>
                <w:lang w:val="en-US"/>
              </w:rPr>
              <w:t>(%)</w:t>
            </w:r>
          </w:p>
        </w:tc>
        <w:tc>
          <w:tcPr>
            <w:tcW w:w="990" w:type="dxa"/>
            <w:vAlign w:val="center"/>
            <w:hideMark/>
          </w:tcPr>
          <w:p w14:paraId="27F6E21B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  <w:t>Variation</w:t>
            </w:r>
          </w:p>
          <w:p w14:paraId="454CF2D6" w14:textId="77777777" w:rsidR="00575213" w:rsidRPr="00387F09" w:rsidRDefault="00575213" w:rsidP="00575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6"/>
                <w:szCs w:val="16"/>
                <w:lang w:val="en-US"/>
              </w:rPr>
              <w:t>(+/- %)</w:t>
            </w:r>
          </w:p>
        </w:tc>
      </w:tr>
      <w:tr w:rsidR="00484312" w:rsidRPr="00387F09" w14:paraId="252643E0" w14:textId="77777777" w:rsidTr="00E31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9D818E7" w14:textId="40780770" w:rsidR="00484312" w:rsidRPr="00387F09" w:rsidRDefault="00484312" w:rsidP="00484312">
            <w:pPr>
              <w:rPr>
                <w:rFonts w:ascii="Arial" w:hAnsi="Arial" w:cs="Arial"/>
                <w:color w:val="365F91"/>
                <w:sz w:val="16"/>
                <w:szCs w:val="16"/>
              </w:rPr>
            </w:pPr>
            <w:r w:rsidRPr="00387F09">
              <w:rPr>
                <w:rFonts w:ascii="Arial" w:hAnsi="Arial" w:cs="Arial"/>
                <w:b w:val="0"/>
                <w:bCs w:val="0"/>
                <w:color w:val="365F91"/>
                <w:sz w:val="16"/>
                <w:szCs w:val="16"/>
              </w:rPr>
              <w:t>Total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40572C" w14:textId="31AC4F8E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717.3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5CF320" w14:textId="30D1499B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100.0%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DE7D8AF" w14:textId="20B074BA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0.8%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270850B" w14:textId="3A74C3DE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50.5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1ACDE2D" w14:textId="2C8AE7DA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36,214.6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FD41C65" w14:textId="0A1B0E4C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100.0%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752236F" w14:textId="60DCD604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13.2%</w:t>
            </w:r>
          </w:p>
        </w:tc>
      </w:tr>
      <w:tr w:rsidR="00484312" w:rsidRPr="00387F09" w14:paraId="59A529CB" w14:textId="77777777" w:rsidTr="00E3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806A73D" w14:textId="04369826" w:rsidR="00484312" w:rsidRPr="00387F09" w:rsidRDefault="00484312" w:rsidP="00484312">
            <w:pPr>
              <w:rPr>
                <w:rFonts w:ascii="Arial" w:hAnsi="Arial" w:cs="Arial"/>
                <w:bCs w:val="0"/>
                <w:color w:val="365F91"/>
                <w:sz w:val="16"/>
                <w:szCs w:val="16"/>
              </w:rPr>
            </w:pPr>
            <w:r w:rsidRPr="00387F09">
              <w:rPr>
                <w:rFonts w:ascii="Arial" w:hAnsi="Arial" w:cs="Arial"/>
                <w:b w:val="0"/>
                <w:bCs w:val="0"/>
                <w:color w:val="365F91"/>
                <w:sz w:val="16"/>
                <w:szCs w:val="16"/>
              </w:rPr>
              <w:t>Top ATC1 groups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24AB836" w14:textId="67ED659E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608.2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789BC6B" w14:textId="129528E8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84.8%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0A0E35AF" w14:textId="172C0AD4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0.8%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E2E21C3" w14:textId="19604CEC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49.3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AD20F9B" w14:textId="1E73AA24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29,994.3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7AD7803" w14:textId="1E2CF721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82.8%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34E1E89A" w14:textId="3F129FD9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13.8%</w:t>
            </w:r>
          </w:p>
        </w:tc>
      </w:tr>
      <w:tr w:rsidR="00484312" w:rsidRPr="00387F09" w14:paraId="09BC23C2" w14:textId="77777777" w:rsidTr="00E31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0414663" w14:textId="38D95824" w:rsidR="00484312" w:rsidRPr="00387F09" w:rsidRDefault="00484312" w:rsidP="00484312">
            <w:pPr>
              <w:rPr>
                <w:rFonts w:ascii="Arial" w:eastAsia="Times New Roman" w:hAnsi="Arial" w:cs="Arial"/>
                <w:b w:val="0"/>
                <w:bCs w:val="0"/>
                <w:color w:val="365F91"/>
                <w:sz w:val="16"/>
                <w:szCs w:val="16"/>
                <w:lang w:val="en-US"/>
              </w:rPr>
            </w:pPr>
            <w:r w:rsidRPr="00E21FC8">
              <w:rPr>
                <w:rFonts w:ascii="Arial" w:hAnsi="Arial" w:cs="Arial"/>
                <w:b w:val="0"/>
                <w:color w:val="365F91"/>
                <w:sz w:val="16"/>
                <w:szCs w:val="16"/>
                <w:lang w:val="en-US"/>
              </w:rPr>
              <w:t>L (ANTINEOPLASTIC AND IMMUNOMOD. AG.)</w:t>
            </w:r>
          </w:p>
        </w:tc>
        <w:tc>
          <w:tcPr>
            <w:tcW w:w="7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335FE2F" w14:textId="5652E797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5.3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9653015" w14:textId="46CE94EB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0.9%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9F27BC2" w14:textId="251FCEF2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6.8%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828B0F" w14:textId="458B74C1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1,546.1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91D8029" w14:textId="120AF558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8,162.2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BCA8A32" w14:textId="7694896A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27.2%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4249030" w14:textId="370E18DA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20.3%</w:t>
            </w:r>
          </w:p>
        </w:tc>
      </w:tr>
      <w:tr w:rsidR="00484312" w:rsidRPr="00387F09" w14:paraId="2A5F3211" w14:textId="77777777" w:rsidTr="00E3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11B4844C" w14:textId="1688CE05" w:rsidR="00484312" w:rsidRPr="00387F09" w:rsidRDefault="00484312" w:rsidP="00484312">
            <w:pPr>
              <w:rPr>
                <w:rFonts w:ascii="Arial" w:eastAsia="Times New Roman" w:hAnsi="Arial" w:cs="Arial"/>
                <w:b w:val="0"/>
                <w:bCs w:val="0"/>
                <w:color w:val="365F91"/>
                <w:sz w:val="16"/>
                <w:szCs w:val="16"/>
                <w:lang w:val="en-US"/>
              </w:rPr>
            </w:pPr>
            <w:r w:rsidRPr="00E21FC8">
              <w:rPr>
                <w:rFonts w:ascii="Arial" w:hAnsi="Arial" w:cs="Arial"/>
                <w:b w:val="0"/>
                <w:color w:val="365F91"/>
                <w:sz w:val="16"/>
                <w:szCs w:val="16"/>
                <w:lang w:val="en-US"/>
              </w:rPr>
              <w:t>A (ALIMENTARY TRACT AND METABOLISM)</w:t>
            </w:r>
          </w:p>
        </w:tc>
        <w:tc>
          <w:tcPr>
            <w:tcW w:w="7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554421A3" w14:textId="4972F3A8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155.2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31CB55BD" w14:textId="5ED549C5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25.5%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60A5003C" w14:textId="28F30490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0.9%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3506F010" w14:textId="59FA40D5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66346FB9" w14:textId="70960C2F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7,146.3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04AF0B37" w14:textId="646C9179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23.8%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A4DEBE3" w14:textId="4337CF63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10.2%</w:t>
            </w:r>
          </w:p>
        </w:tc>
      </w:tr>
      <w:tr w:rsidR="00484312" w:rsidRPr="00387F09" w14:paraId="6315C473" w14:textId="77777777" w:rsidTr="00E31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1107E69" w14:textId="360680D0" w:rsidR="00484312" w:rsidRPr="00387F09" w:rsidRDefault="00484312" w:rsidP="00484312">
            <w:pPr>
              <w:rPr>
                <w:rFonts w:ascii="Arial" w:eastAsia="Times New Roman" w:hAnsi="Arial" w:cs="Arial"/>
                <w:b w:val="0"/>
                <w:bCs w:val="0"/>
                <w:color w:val="365F91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 w:val="0"/>
                <w:color w:val="365F91"/>
                <w:sz w:val="16"/>
                <w:szCs w:val="16"/>
              </w:rPr>
              <w:t>C (CARDIOVASCULAR SYSTEM)</w:t>
            </w:r>
          </w:p>
        </w:tc>
        <w:tc>
          <w:tcPr>
            <w:tcW w:w="7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0CE3985" w14:textId="475E5AFD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164.5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2815FB5" w14:textId="16931753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27.1%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8418C07" w14:textId="2AF34103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5A5CA41" w14:textId="09D575C1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44CCDB2" w14:textId="5D13186C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4,137.7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17BF456" w14:textId="375E28D9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13.8%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B597CCD" w14:textId="0C10BA64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10.0%</w:t>
            </w:r>
          </w:p>
        </w:tc>
      </w:tr>
      <w:tr w:rsidR="00484312" w:rsidRPr="00387F09" w14:paraId="0B21AFBA" w14:textId="77777777" w:rsidTr="00E3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</w:tcPr>
          <w:p w14:paraId="551E52E8" w14:textId="559D2A9E" w:rsidR="00484312" w:rsidRPr="00387F09" w:rsidRDefault="00484312" w:rsidP="00484312">
            <w:pPr>
              <w:rPr>
                <w:rFonts w:ascii="Arial" w:eastAsia="Times New Roman" w:hAnsi="Arial" w:cs="Arial"/>
                <w:b w:val="0"/>
                <w:bCs w:val="0"/>
                <w:color w:val="365F91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 w:val="0"/>
                <w:color w:val="365F91"/>
                <w:sz w:val="16"/>
                <w:szCs w:val="16"/>
              </w:rPr>
              <w:t>N (NERVOUS SYSTEM)</w:t>
            </w:r>
          </w:p>
        </w:tc>
        <w:tc>
          <w:tcPr>
            <w:tcW w:w="7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075F740A" w14:textId="409CC0A0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106.0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73F34A5E" w14:textId="49D97A98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17.4%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778F4D4" w14:textId="54B5F5B8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-2.4%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6554C72" w14:textId="58968859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1628CAE" w14:textId="21F9B073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3,151.7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CBBABD4" w14:textId="5A0F6C41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10.5%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6BBBBD5" w14:textId="7DB6AB38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9.4%</w:t>
            </w:r>
          </w:p>
        </w:tc>
      </w:tr>
      <w:tr w:rsidR="00484312" w:rsidRPr="00387F09" w14:paraId="1978A77F" w14:textId="77777777" w:rsidTr="00E31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5F21C7" w14:textId="3C2C43B3" w:rsidR="00484312" w:rsidRPr="00387F09" w:rsidRDefault="00484312" w:rsidP="00484312">
            <w:pPr>
              <w:rPr>
                <w:rFonts w:ascii="Arial" w:eastAsia="Times New Roman" w:hAnsi="Arial" w:cs="Arial"/>
                <w:b w:val="0"/>
                <w:bCs w:val="0"/>
                <w:color w:val="365F91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 w:val="0"/>
                <w:color w:val="365F91"/>
                <w:sz w:val="16"/>
                <w:szCs w:val="16"/>
              </w:rPr>
              <w:t>R (RESPIRATORY SYSTEM)</w:t>
            </w:r>
          </w:p>
        </w:tc>
        <w:tc>
          <w:tcPr>
            <w:tcW w:w="7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A9F9368" w14:textId="02F2F7C2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84.4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6E6B487" w14:textId="5DDF7EDB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13.9%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BA87E48" w14:textId="7983CADA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A013E77" w14:textId="3E1787FF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34.4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CC61873" w14:textId="27C91629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2,902.5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6A4B69E" w14:textId="6E26B955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9.7%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7FE7FC7" w14:textId="5CD05FB1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11.3%</w:t>
            </w:r>
          </w:p>
        </w:tc>
      </w:tr>
      <w:tr w:rsidR="00484312" w:rsidRPr="00387F09" w14:paraId="036EDAE2" w14:textId="77777777" w:rsidTr="00E3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4BE8170" w14:textId="78D48E34" w:rsidR="00484312" w:rsidRPr="00387F09" w:rsidRDefault="00484312" w:rsidP="00484312">
            <w:pPr>
              <w:rPr>
                <w:rFonts w:ascii="Arial" w:eastAsia="Times New Roman" w:hAnsi="Arial" w:cs="Arial"/>
                <w:b w:val="0"/>
                <w:bCs w:val="0"/>
                <w:color w:val="365F91"/>
                <w:sz w:val="16"/>
                <w:szCs w:val="16"/>
                <w:lang w:val="en-US"/>
              </w:rPr>
            </w:pPr>
            <w:r w:rsidRPr="00E21FC8">
              <w:rPr>
                <w:rFonts w:ascii="Arial" w:hAnsi="Arial" w:cs="Arial"/>
                <w:b w:val="0"/>
                <w:color w:val="365F91"/>
                <w:sz w:val="16"/>
                <w:szCs w:val="16"/>
                <w:lang w:val="en-US"/>
              </w:rPr>
              <w:t>J (GENERAL ANTI-INFECTIVES SYSTEMIC)</w:t>
            </w:r>
          </w:p>
        </w:tc>
        <w:tc>
          <w:tcPr>
            <w:tcW w:w="7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5B787868" w14:textId="6863E92D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39.3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37B01C00" w14:textId="138A136F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6.5%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7A2F0D41" w14:textId="47F4C733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-2.1%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7A1C6DF9" w14:textId="5BF54BB9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FB3D0EF" w14:textId="6C66D305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2,668.1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06334D2" w14:textId="306AA050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8.9%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18EE2785" w14:textId="3AFF7990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17.5%</w:t>
            </w:r>
          </w:p>
        </w:tc>
      </w:tr>
      <w:tr w:rsidR="00484312" w:rsidRPr="00387F09" w14:paraId="1234052D" w14:textId="77777777" w:rsidTr="00E31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CFC11B" w14:textId="0FD4FA15" w:rsidR="00484312" w:rsidRPr="00387F09" w:rsidRDefault="00484312" w:rsidP="00484312">
            <w:pPr>
              <w:rPr>
                <w:rFonts w:ascii="Arial" w:eastAsia="Times New Roman" w:hAnsi="Arial" w:cs="Arial"/>
                <w:b w:val="0"/>
                <w:bCs w:val="0"/>
                <w:color w:val="365F91"/>
                <w:sz w:val="16"/>
                <w:szCs w:val="16"/>
                <w:lang w:val="en-US"/>
              </w:rPr>
            </w:pPr>
            <w:r w:rsidRPr="00387F09">
              <w:rPr>
                <w:rFonts w:ascii="Arial" w:hAnsi="Arial" w:cs="Arial"/>
                <w:b w:val="0"/>
                <w:color w:val="365F91"/>
                <w:sz w:val="16"/>
                <w:szCs w:val="16"/>
              </w:rPr>
              <w:t>M (MUSCULOSKELETAL SYSTEM)</w:t>
            </w:r>
          </w:p>
        </w:tc>
        <w:tc>
          <w:tcPr>
            <w:tcW w:w="7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2FFAB5" w14:textId="3FBA465A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53.5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B1B9B0" w14:textId="3DC750AC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8.8%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2D56CC" w14:textId="09080D81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5.4%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67C359" w14:textId="6829B4F2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BE151C" w14:textId="230FA858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1,825.9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3C9C9A" w14:textId="791A1D8F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6.1%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509A16" w14:textId="10909EFD" w:rsidR="00484312" w:rsidRPr="00484312" w:rsidRDefault="00484312" w:rsidP="004843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color w:val="365F91"/>
                <w:sz w:val="16"/>
                <w:szCs w:val="16"/>
              </w:rPr>
              <w:t>16.6%</w:t>
            </w:r>
          </w:p>
        </w:tc>
      </w:tr>
      <w:tr w:rsidR="00484312" w:rsidRPr="00387F09" w14:paraId="71D18D73" w14:textId="77777777" w:rsidTr="00E3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70B75840" w14:textId="20F31100" w:rsidR="00484312" w:rsidRPr="00387F09" w:rsidRDefault="00484312" w:rsidP="00484312">
            <w:pPr>
              <w:rPr>
                <w:rFonts w:ascii="Arial" w:hAnsi="Arial" w:cs="Arial"/>
                <w:color w:val="365F91"/>
                <w:sz w:val="16"/>
                <w:szCs w:val="16"/>
              </w:rPr>
            </w:pPr>
            <w:proofErr w:type="spellStart"/>
            <w:r w:rsidRPr="00387F09">
              <w:rPr>
                <w:rFonts w:ascii="Arial" w:hAnsi="Arial" w:cs="Arial"/>
                <w:b w:val="0"/>
                <w:bCs w:val="0"/>
                <w:color w:val="365F91"/>
                <w:sz w:val="16"/>
                <w:szCs w:val="16"/>
              </w:rPr>
              <w:t>Other</w:t>
            </w:r>
            <w:proofErr w:type="spellEnd"/>
            <w:r w:rsidRPr="00387F09">
              <w:rPr>
                <w:rFonts w:ascii="Arial" w:hAnsi="Arial" w:cs="Arial"/>
                <w:b w:val="0"/>
                <w:bCs w:val="0"/>
                <w:color w:val="365F91"/>
                <w:sz w:val="16"/>
                <w:szCs w:val="16"/>
              </w:rPr>
              <w:t xml:space="preserve"> ATC1 groups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4C18556" w14:textId="2AB9F82F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109.1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F251845" w14:textId="5F02DEDB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15.2%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D20FBB6" w14:textId="1C667A47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5655D7E" w14:textId="3B72F01A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CC08597" w14:textId="4371E4CB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6,220.3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70D1AB06" w14:textId="0E0F94C7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17.2%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369AF5B9" w14:textId="4343B4EC" w:rsidR="00484312" w:rsidRPr="00484312" w:rsidRDefault="00484312" w:rsidP="0048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484312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>10.5%</w:t>
            </w:r>
          </w:p>
        </w:tc>
      </w:tr>
    </w:tbl>
    <w:p w14:paraId="15683A9C" w14:textId="30340D9A" w:rsidR="002C4838" w:rsidRPr="002C4838" w:rsidRDefault="00C8231D" w:rsidP="002C4838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  <w:r w:rsidRPr="00C8231D">
        <w:rPr>
          <w:color w:val="365F91" w:themeColor="accent1" w:themeShade="BF"/>
          <w:sz w:val="20"/>
          <w:lang w:val="en-US"/>
        </w:rPr>
        <w:lastRenderedPageBreak/>
        <w:t>The top seven therapeutic groups accounted for 84.8% of the market volume and 82.</w:t>
      </w:r>
      <w:r w:rsidR="00B90022">
        <w:rPr>
          <w:color w:val="365F91" w:themeColor="accent1" w:themeShade="BF"/>
          <w:sz w:val="20"/>
          <w:lang w:val="en-US"/>
        </w:rPr>
        <w:t>8</w:t>
      </w:r>
      <w:r w:rsidRPr="00C8231D">
        <w:rPr>
          <w:color w:val="365F91" w:themeColor="accent1" w:themeShade="BF"/>
          <w:sz w:val="20"/>
          <w:lang w:val="en-US"/>
        </w:rPr>
        <w:t xml:space="preserve">% of its overall value. </w:t>
      </w:r>
      <w:r w:rsidR="002C4838" w:rsidRPr="002C4838">
        <w:rPr>
          <w:color w:val="365F91" w:themeColor="accent1" w:themeShade="BF"/>
          <w:sz w:val="20"/>
          <w:lang w:val="en-US"/>
        </w:rPr>
        <w:t>In terms of the evolution in the last 12 months, there are increases in volume above the market average of 0.8%</w:t>
      </w:r>
      <w:r w:rsidR="0039716C">
        <w:rPr>
          <w:color w:val="365F91" w:themeColor="accent1" w:themeShade="BF"/>
          <w:sz w:val="20"/>
          <w:lang w:val="en-US"/>
        </w:rPr>
        <w:t xml:space="preserve"> </w:t>
      </w:r>
      <w:r w:rsidR="002C4838" w:rsidRPr="002C4838">
        <w:rPr>
          <w:color w:val="365F91" w:themeColor="accent1" w:themeShade="BF"/>
          <w:sz w:val="20"/>
          <w:lang w:val="en-US"/>
        </w:rPr>
        <w:t xml:space="preserve">in the case of </w:t>
      </w:r>
      <w:proofErr w:type="spellStart"/>
      <w:r w:rsidR="002C4838" w:rsidRPr="002C4838">
        <w:rPr>
          <w:color w:val="365F91" w:themeColor="accent1" w:themeShade="BF"/>
          <w:sz w:val="20"/>
          <w:lang w:val="en-US"/>
        </w:rPr>
        <w:t>antineoplastics</w:t>
      </w:r>
      <w:proofErr w:type="spellEnd"/>
      <w:r w:rsidR="002C4838" w:rsidRPr="002C4838">
        <w:rPr>
          <w:color w:val="365F91" w:themeColor="accent1" w:themeShade="BF"/>
          <w:sz w:val="20"/>
          <w:lang w:val="en-US"/>
        </w:rPr>
        <w:t xml:space="preserve"> and immunomodulators (+6.8%), in the case of drugs for the musculoskeletal system (+5.4%), the respiratory system (+2.4%), the cardiovascular system (</w:t>
      </w:r>
      <w:r w:rsidR="002C4838">
        <w:rPr>
          <w:color w:val="365F91" w:themeColor="accent1" w:themeShade="BF"/>
          <w:sz w:val="20"/>
          <w:lang w:val="en-US"/>
        </w:rPr>
        <w:t>+</w:t>
      </w:r>
      <w:r w:rsidR="002C4838" w:rsidRPr="002C4838">
        <w:rPr>
          <w:color w:val="365F91" w:themeColor="accent1" w:themeShade="BF"/>
          <w:sz w:val="20"/>
          <w:lang w:val="en-US"/>
        </w:rPr>
        <w:t>1.2%) and the food system and metabolism (</w:t>
      </w:r>
      <w:r w:rsidR="002C4838">
        <w:rPr>
          <w:color w:val="365F91" w:themeColor="accent1" w:themeShade="BF"/>
          <w:sz w:val="20"/>
          <w:lang w:val="en-US"/>
        </w:rPr>
        <w:t>+</w:t>
      </w:r>
      <w:r w:rsidR="002C4838" w:rsidRPr="002C4838">
        <w:rPr>
          <w:color w:val="365F91" w:themeColor="accent1" w:themeShade="BF"/>
          <w:sz w:val="20"/>
          <w:lang w:val="en-US"/>
        </w:rPr>
        <w:t>0.9%). Treatments for nervous system pathologies decreased in volume by 2.4%, while systemic anti-infectives decreased by 2.1%.</w:t>
      </w:r>
    </w:p>
    <w:p w14:paraId="7E5869E6" w14:textId="57FA93D4" w:rsidR="0054472D" w:rsidRDefault="002C4838" w:rsidP="002C4838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  <w:r w:rsidRPr="002C4838">
        <w:rPr>
          <w:color w:val="365F91" w:themeColor="accent1" w:themeShade="BF"/>
          <w:sz w:val="20"/>
          <w:lang w:val="en-US"/>
        </w:rPr>
        <w:t xml:space="preserve">In value, in the last 12 months there are increases above the market average of 13.2% in the case of </w:t>
      </w:r>
      <w:proofErr w:type="spellStart"/>
      <w:r w:rsidRPr="002C4838">
        <w:rPr>
          <w:color w:val="365F91" w:themeColor="accent1" w:themeShade="BF"/>
          <w:sz w:val="20"/>
          <w:lang w:val="en-US"/>
        </w:rPr>
        <w:t>antineoplastics</w:t>
      </w:r>
      <w:proofErr w:type="spellEnd"/>
      <w:r w:rsidRPr="002C4838">
        <w:rPr>
          <w:color w:val="365F91" w:themeColor="accent1" w:themeShade="BF"/>
          <w:sz w:val="20"/>
          <w:lang w:val="en-US"/>
        </w:rPr>
        <w:t xml:space="preserve"> and immunomodulators (+20.3%), systemic anti-infectives (+17.5%) and drugs for the musculoskeletal system (+16.6%). All other therapeutic groups had significant increases, but were below the market average. Thus, medicines for the respiratory system increased by 11.3%, those for the digestive system and metabolism increased by 10.2%, those for the cardiovascular system by 10.0%, and those for nervous system disorders by 9.4%.</w:t>
      </w:r>
    </w:p>
    <w:p w14:paraId="4305FF69" w14:textId="77777777" w:rsidR="0039716C" w:rsidRDefault="0039716C" w:rsidP="002C4838">
      <w:pPr>
        <w:pStyle w:val="BodyText"/>
        <w:keepNext/>
        <w:tabs>
          <w:tab w:val="left" w:pos="810"/>
        </w:tabs>
        <w:rPr>
          <w:b/>
          <w:bCs/>
          <w:color w:val="365F91" w:themeColor="accent1" w:themeShade="BF"/>
          <w:szCs w:val="22"/>
          <w:u w:val="single"/>
          <w:lang w:val="en-US"/>
        </w:rPr>
      </w:pPr>
    </w:p>
    <w:p w14:paraId="74B474C0" w14:textId="5BBC0964" w:rsidR="00BB0577" w:rsidRPr="00481D2B" w:rsidRDefault="00A74794" w:rsidP="00BB0577">
      <w:pPr>
        <w:tabs>
          <w:tab w:val="left" w:pos="810"/>
          <w:tab w:val="left" w:pos="900"/>
        </w:tabs>
        <w:spacing w:after="0"/>
        <w:ind w:right="1"/>
        <w:jc w:val="both"/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</w:pPr>
      <w:r w:rsidRPr="00481D2B"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  <w:t xml:space="preserve">Top 20 Corporations by </w:t>
      </w:r>
      <w:r w:rsidR="0099376A"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  <w:t>v</w:t>
      </w:r>
      <w:r w:rsidRPr="00481D2B"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  <w:t>olume</w:t>
      </w:r>
    </w:p>
    <w:p w14:paraId="49EFDE90" w14:textId="77777777" w:rsidR="00BB0577" w:rsidRPr="000762D9" w:rsidRDefault="00BB0577" w:rsidP="00BB0577">
      <w:pPr>
        <w:pStyle w:val="BodyText"/>
        <w:ind w:right="288"/>
        <w:rPr>
          <w:rFonts w:cs="Arial"/>
          <w:sz w:val="20"/>
          <w:lang w:val="en-US"/>
        </w:rPr>
      </w:pPr>
    </w:p>
    <w:p w14:paraId="324AF397" w14:textId="0BAAF0E2" w:rsidR="004C0111" w:rsidRPr="004C0111" w:rsidRDefault="004C0111" w:rsidP="00FF157E">
      <w:pPr>
        <w:pStyle w:val="BodyText"/>
        <w:ind w:right="-3"/>
        <w:rPr>
          <w:color w:val="365F91" w:themeColor="accent1" w:themeShade="BF"/>
          <w:sz w:val="20"/>
          <w:lang w:val="en-US"/>
        </w:rPr>
      </w:pPr>
      <w:r w:rsidRPr="004C0111">
        <w:rPr>
          <w:color w:val="365F91" w:themeColor="accent1" w:themeShade="BF"/>
          <w:sz w:val="20"/>
          <w:lang w:val="en-US"/>
        </w:rPr>
        <w:t xml:space="preserve">In the </w:t>
      </w:r>
      <w:r w:rsidR="005412F0">
        <w:rPr>
          <w:color w:val="365F91" w:themeColor="accent1" w:themeShade="BF"/>
          <w:sz w:val="20"/>
          <w:lang w:val="en-US"/>
        </w:rPr>
        <w:t>second</w:t>
      </w:r>
      <w:r w:rsidRPr="004C0111">
        <w:rPr>
          <w:color w:val="365F91" w:themeColor="accent1" w:themeShade="BF"/>
          <w:sz w:val="20"/>
          <w:lang w:val="en-US"/>
        </w:rPr>
        <w:t xml:space="preserve"> quarter of 202</w:t>
      </w:r>
      <w:r w:rsidR="00AA67A9">
        <w:rPr>
          <w:color w:val="365F91" w:themeColor="accent1" w:themeShade="BF"/>
          <w:sz w:val="20"/>
          <w:lang w:val="en-US"/>
        </w:rPr>
        <w:t>5</w:t>
      </w:r>
      <w:r w:rsidRPr="004C0111">
        <w:rPr>
          <w:color w:val="365F91" w:themeColor="accent1" w:themeShade="BF"/>
          <w:sz w:val="20"/>
          <w:lang w:val="en-US"/>
        </w:rPr>
        <w:t xml:space="preserve">, the ranking of the top </w:t>
      </w:r>
      <w:r w:rsidR="00AA67A9">
        <w:rPr>
          <w:color w:val="365F91" w:themeColor="accent1" w:themeShade="BF"/>
          <w:sz w:val="20"/>
          <w:lang w:val="en-US"/>
        </w:rPr>
        <w:t xml:space="preserve">3 </w:t>
      </w:r>
      <w:r w:rsidRPr="004C0111">
        <w:rPr>
          <w:color w:val="365F91" w:themeColor="accent1" w:themeShade="BF"/>
          <w:sz w:val="20"/>
          <w:lang w:val="en-US"/>
        </w:rPr>
        <w:t xml:space="preserve">corporations by volume remained unchanged. Sun Pharma (including </w:t>
      </w:r>
      <w:proofErr w:type="spellStart"/>
      <w:r w:rsidRPr="004C0111">
        <w:rPr>
          <w:color w:val="365F91" w:themeColor="accent1" w:themeShade="BF"/>
          <w:sz w:val="20"/>
          <w:lang w:val="en-US"/>
        </w:rPr>
        <w:t>Terapia</w:t>
      </w:r>
      <w:proofErr w:type="spellEnd"/>
      <w:r w:rsidRPr="004C0111">
        <w:rPr>
          <w:color w:val="365F91" w:themeColor="accent1" w:themeShade="BF"/>
          <w:sz w:val="20"/>
          <w:lang w:val="en-US"/>
        </w:rPr>
        <w:t xml:space="preserve">) maintained its lead with </w:t>
      </w:r>
      <w:r w:rsidR="00BC0420">
        <w:rPr>
          <w:color w:val="365F91" w:themeColor="accent1" w:themeShade="BF"/>
          <w:sz w:val="20"/>
          <w:lang w:val="en-US"/>
        </w:rPr>
        <w:t>17.9</w:t>
      </w:r>
      <w:r w:rsidRPr="004C0111">
        <w:rPr>
          <w:color w:val="365F91" w:themeColor="accent1" w:themeShade="BF"/>
          <w:sz w:val="20"/>
          <w:lang w:val="en-US"/>
        </w:rPr>
        <w:t xml:space="preserve"> million units, followed by </w:t>
      </w:r>
      <w:proofErr w:type="spellStart"/>
      <w:r w:rsidRPr="004C0111">
        <w:rPr>
          <w:color w:val="365F91" w:themeColor="accent1" w:themeShade="BF"/>
          <w:sz w:val="20"/>
          <w:lang w:val="en-US"/>
        </w:rPr>
        <w:t>Zentiva</w:t>
      </w:r>
      <w:proofErr w:type="spellEnd"/>
      <w:r w:rsidRPr="004C0111">
        <w:rPr>
          <w:color w:val="365F91" w:themeColor="accent1" w:themeShade="BF"/>
          <w:sz w:val="20"/>
          <w:lang w:val="en-US"/>
        </w:rPr>
        <w:t xml:space="preserve"> (including </w:t>
      </w:r>
      <w:proofErr w:type="spellStart"/>
      <w:r w:rsidRPr="004C0111">
        <w:rPr>
          <w:color w:val="365F91" w:themeColor="accent1" w:themeShade="BF"/>
          <w:sz w:val="20"/>
          <w:lang w:val="en-US"/>
        </w:rPr>
        <w:t>Labormed</w:t>
      </w:r>
      <w:proofErr w:type="spellEnd"/>
      <w:r w:rsidRPr="004C0111">
        <w:rPr>
          <w:color w:val="365F91" w:themeColor="accent1" w:themeShade="BF"/>
          <w:sz w:val="20"/>
          <w:lang w:val="en-US"/>
        </w:rPr>
        <w:t xml:space="preserve"> and </w:t>
      </w:r>
      <w:proofErr w:type="spellStart"/>
      <w:r w:rsidRPr="004C0111">
        <w:rPr>
          <w:color w:val="365F91" w:themeColor="accent1" w:themeShade="BF"/>
          <w:sz w:val="20"/>
          <w:lang w:val="en-US"/>
        </w:rPr>
        <w:t>Alvogen</w:t>
      </w:r>
      <w:proofErr w:type="spellEnd"/>
      <w:r w:rsidRPr="004C0111">
        <w:rPr>
          <w:color w:val="365F91" w:themeColor="accent1" w:themeShade="BF"/>
          <w:sz w:val="20"/>
          <w:lang w:val="en-US"/>
        </w:rPr>
        <w:t xml:space="preserve">) with </w:t>
      </w:r>
      <w:r w:rsidR="00CD06B9">
        <w:rPr>
          <w:color w:val="365F91" w:themeColor="accent1" w:themeShade="BF"/>
          <w:sz w:val="20"/>
          <w:lang w:val="en-US"/>
        </w:rPr>
        <w:t>1</w:t>
      </w:r>
      <w:r w:rsidR="00BC0420">
        <w:rPr>
          <w:color w:val="365F91" w:themeColor="accent1" w:themeShade="BF"/>
          <w:sz w:val="20"/>
          <w:lang w:val="en-US"/>
        </w:rPr>
        <w:t>5</w:t>
      </w:r>
      <w:r w:rsidR="00CD06B9">
        <w:rPr>
          <w:color w:val="365F91" w:themeColor="accent1" w:themeShade="BF"/>
          <w:sz w:val="20"/>
          <w:lang w:val="en-US"/>
        </w:rPr>
        <w:t>.</w:t>
      </w:r>
      <w:r w:rsidR="00AA67A9">
        <w:rPr>
          <w:color w:val="365F91" w:themeColor="accent1" w:themeShade="BF"/>
          <w:sz w:val="20"/>
          <w:lang w:val="en-US"/>
        </w:rPr>
        <w:t>1</w:t>
      </w:r>
      <w:r w:rsidRPr="004C0111">
        <w:rPr>
          <w:color w:val="365F91" w:themeColor="accent1" w:themeShade="BF"/>
          <w:sz w:val="20"/>
          <w:lang w:val="en-US"/>
        </w:rPr>
        <w:t xml:space="preserve"> million units, and </w:t>
      </w:r>
      <w:proofErr w:type="spellStart"/>
      <w:r w:rsidRPr="004C0111">
        <w:rPr>
          <w:color w:val="365F91" w:themeColor="accent1" w:themeShade="BF"/>
          <w:sz w:val="20"/>
          <w:lang w:val="en-US"/>
        </w:rPr>
        <w:t>Servier</w:t>
      </w:r>
      <w:proofErr w:type="spellEnd"/>
      <w:r w:rsidRPr="004C0111">
        <w:rPr>
          <w:color w:val="365F91" w:themeColor="accent1" w:themeShade="BF"/>
          <w:sz w:val="20"/>
          <w:lang w:val="en-US"/>
        </w:rPr>
        <w:t xml:space="preserve"> (including Egis) with </w:t>
      </w:r>
      <w:r w:rsidR="00FF157E">
        <w:rPr>
          <w:color w:val="365F91" w:themeColor="accent1" w:themeShade="BF"/>
          <w:sz w:val="20"/>
          <w:lang w:val="en-US"/>
        </w:rPr>
        <w:t>1</w:t>
      </w:r>
      <w:r w:rsidR="00AA67A9">
        <w:rPr>
          <w:color w:val="365F91" w:themeColor="accent1" w:themeShade="BF"/>
          <w:sz w:val="20"/>
          <w:lang w:val="en-US"/>
        </w:rPr>
        <w:t>0.9</w:t>
      </w:r>
      <w:r w:rsidRPr="004C0111">
        <w:rPr>
          <w:color w:val="365F91" w:themeColor="accent1" w:themeShade="BF"/>
          <w:sz w:val="20"/>
          <w:lang w:val="en-US"/>
        </w:rPr>
        <w:t xml:space="preserve"> million units.</w:t>
      </w:r>
    </w:p>
    <w:p w14:paraId="556247FA" w14:textId="77777777" w:rsidR="00780771" w:rsidRDefault="00BC0420" w:rsidP="00AA67A9">
      <w:pPr>
        <w:pStyle w:val="BodyText"/>
        <w:ind w:right="-3"/>
        <w:rPr>
          <w:color w:val="365F91" w:themeColor="accent1" w:themeShade="BF"/>
          <w:sz w:val="20"/>
          <w:lang w:val="en-US"/>
        </w:rPr>
      </w:pPr>
      <w:r>
        <w:rPr>
          <w:color w:val="365F91" w:themeColor="accent1" w:themeShade="BF"/>
          <w:sz w:val="20"/>
          <w:lang w:val="en-US"/>
        </w:rPr>
        <w:t>Also, o</w:t>
      </w:r>
      <w:r w:rsidR="004C0111" w:rsidRPr="004C0111">
        <w:rPr>
          <w:color w:val="365F91" w:themeColor="accent1" w:themeShade="BF"/>
          <w:sz w:val="20"/>
          <w:lang w:val="en-US"/>
        </w:rPr>
        <w:t xml:space="preserve">ver the past 12 months, </w:t>
      </w:r>
      <w:r w:rsidR="00AA67A9" w:rsidRPr="00AA67A9">
        <w:rPr>
          <w:color w:val="365F91" w:themeColor="accent1" w:themeShade="BF"/>
          <w:sz w:val="20"/>
          <w:lang w:val="en-US"/>
        </w:rPr>
        <w:t xml:space="preserve">the composition of the top 10 corporations </w:t>
      </w:r>
      <w:r>
        <w:rPr>
          <w:color w:val="365F91" w:themeColor="accent1" w:themeShade="BF"/>
          <w:sz w:val="20"/>
          <w:lang w:val="en-US"/>
        </w:rPr>
        <w:t xml:space="preserve">didn’t </w:t>
      </w:r>
      <w:r w:rsidR="00AA67A9" w:rsidRPr="00AA67A9">
        <w:rPr>
          <w:color w:val="365F91" w:themeColor="accent1" w:themeShade="BF"/>
          <w:sz w:val="20"/>
          <w:lang w:val="en-US"/>
        </w:rPr>
        <w:t xml:space="preserve">change compared to the previous edition. Thus, in first place is the Sun Pharma corporation (including </w:t>
      </w:r>
      <w:proofErr w:type="spellStart"/>
      <w:r w:rsidR="00AA67A9" w:rsidRPr="00AA67A9">
        <w:rPr>
          <w:color w:val="365F91" w:themeColor="accent1" w:themeShade="BF"/>
          <w:sz w:val="20"/>
          <w:lang w:val="en-US"/>
        </w:rPr>
        <w:t>Terapia</w:t>
      </w:r>
      <w:proofErr w:type="spellEnd"/>
      <w:r w:rsidR="00AA67A9" w:rsidRPr="00AA67A9">
        <w:rPr>
          <w:color w:val="365F91" w:themeColor="accent1" w:themeShade="BF"/>
          <w:sz w:val="20"/>
          <w:lang w:val="en-US"/>
        </w:rPr>
        <w:t xml:space="preserve">) with </w:t>
      </w:r>
      <w:r>
        <w:rPr>
          <w:color w:val="365F91" w:themeColor="accent1" w:themeShade="BF"/>
          <w:sz w:val="20"/>
          <w:lang w:val="en-US"/>
        </w:rPr>
        <w:t>72.5</w:t>
      </w:r>
      <w:r w:rsidR="00AA67A9" w:rsidRPr="00AA67A9">
        <w:rPr>
          <w:color w:val="365F91" w:themeColor="accent1" w:themeShade="BF"/>
          <w:sz w:val="20"/>
          <w:lang w:val="en-US"/>
        </w:rPr>
        <w:t xml:space="preserve"> million units followed by </w:t>
      </w:r>
      <w:proofErr w:type="spellStart"/>
      <w:r w:rsidR="00AA67A9" w:rsidRPr="00AA67A9">
        <w:rPr>
          <w:color w:val="365F91" w:themeColor="accent1" w:themeShade="BF"/>
          <w:sz w:val="20"/>
          <w:lang w:val="en-US"/>
        </w:rPr>
        <w:t>Zentiva</w:t>
      </w:r>
      <w:proofErr w:type="spellEnd"/>
      <w:r w:rsidR="00AA67A9" w:rsidRPr="00AA67A9">
        <w:rPr>
          <w:color w:val="365F91" w:themeColor="accent1" w:themeShade="BF"/>
          <w:sz w:val="20"/>
          <w:lang w:val="en-US"/>
        </w:rPr>
        <w:t xml:space="preserve"> (including </w:t>
      </w:r>
      <w:proofErr w:type="spellStart"/>
      <w:r w:rsidR="00AA67A9" w:rsidRPr="00AA67A9">
        <w:rPr>
          <w:color w:val="365F91" w:themeColor="accent1" w:themeShade="BF"/>
          <w:sz w:val="20"/>
          <w:lang w:val="en-US"/>
        </w:rPr>
        <w:t>Labormed</w:t>
      </w:r>
      <w:proofErr w:type="spellEnd"/>
      <w:r w:rsidR="00AA67A9" w:rsidRPr="00AA67A9">
        <w:rPr>
          <w:color w:val="365F91" w:themeColor="accent1" w:themeShade="BF"/>
          <w:sz w:val="20"/>
          <w:lang w:val="en-US"/>
        </w:rPr>
        <w:t xml:space="preserve"> and </w:t>
      </w:r>
      <w:proofErr w:type="spellStart"/>
      <w:r w:rsidR="00AA67A9" w:rsidRPr="00AA67A9">
        <w:rPr>
          <w:color w:val="365F91" w:themeColor="accent1" w:themeShade="BF"/>
          <w:sz w:val="20"/>
          <w:lang w:val="en-US"/>
        </w:rPr>
        <w:t>Alvogen</w:t>
      </w:r>
      <w:proofErr w:type="spellEnd"/>
      <w:r w:rsidR="00AA67A9" w:rsidRPr="00AA67A9">
        <w:rPr>
          <w:color w:val="365F91" w:themeColor="accent1" w:themeShade="BF"/>
          <w:sz w:val="20"/>
          <w:lang w:val="en-US"/>
        </w:rPr>
        <w:t>) with sales of 6</w:t>
      </w:r>
      <w:r>
        <w:rPr>
          <w:color w:val="365F91" w:themeColor="accent1" w:themeShade="BF"/>
          <w:sz w:val="20"/>
          <w:lang w:val="en-US"/>
        </w:rPr>
        <w:t>3.7</w:t>
      </w:r>
      <w:r w:rsidR="00AA67A9" w:rsidRPr="00AA67A9">
        <w:rPr>
          <w:color w:val="365F91" w:themeColor="accent1" w:themeShade="BF"/>
          <w:sz w:val="20"/>
          <w:lang w:val="en-US"/>
        </w:rPr>
        <w:t xml:space="preserve"> million units and </w:t>
      </w:r>
      <w:proofErr w:type="spellStart"/>
      <w:r w:rsidR="00AA67A9" w:rsidRPr="00AA67A9">
        <w:rPr>
          <w:color w:val="365F91" w:themeColor="accent1" w:themeShade="BF"/>
          <w:sz w:val="20"/>
          <w:lang w:val="en-US"/>
        </w:rPr>
        <w:t>Servier</w:t>
      </w:r>
      <w:proofErr w:type="spellEnd"/>
      <w:r w:rsidR="00AA67A9" w:rsidRPr="00AA67A9">
        <w:rPr>
          <w:color w:val="365F91" w:themeColor="accent1" w:themeShade="BF"/>
          <w:sz w:val="20"/>
          <w:lang w:val="en-US"/>
        </w:rPr>
        <w:t xml:space="preserve"> (including Egis) with 44.</w:t>
      </w:r>
      <w:r>
        <w:rPr>
          <w:color w:val="365F91" w:themeColor="accent1" w:themeShade="BF"/>
          <w:sz w:val="20"/>
          <w:lang w:val="en-US"/>
        </w:rPr>
        <w:t>1</w:t>
      </w:r>
      <w:r w:rsidR="00AA67A9" w:rsidRPr="00AA67A9">
        <w:rPr>
          <w:color w:val="365F91" w:themeColor="accent1" w:themeShade="BF"/>
          <w:sz w:val="20"/>
          <w:lang w:val="en-US"/>
        </w:rPr>
        <w:t xml:space="preserve"> million units. </w:t>
      </w:r>
    </w:p>
    <w:p w14:paraId="395A396C" w14:textId="2E06C938" w:rsidR="004C0111" w:rsidRDefault="00AA67A9" w:rsidP="00AA67A9">
      <w:pPr>
        <w:pStyle w:val="BodyText"/>
        <w:ind w:right="-3"/>
        <w:rPr>
          <w:color w:val="365F91" w:themeColor="accent1" w:themeShade="BF"/>
          <w:sz w:val="20"/>
          <w:lang w:val="en-US"/>
        </w:rPr>
      </w:pPr>
      <w:r w:rsidRPr="00AA67A9">
        <w:rPr>
          <w:color w:val="365F91" w:themeColor="accent1" w:themeShade="BF"/>
          <w:sz w:val="20"/>
          <w:lang w:val="en-US"/>
        </w:rPr>
        <w:t xml:space="preserve">The top 10 players </w:t>
      </w:r>
      <w:proofErr w:type="gramStart"/>
      <w:r w:rsidRPr="00AA67A9">
        <w:rPr>
          <w:color w:val="365F91" w:themeColor="accent1" w:themeShade="BF"/>
          <w:sz w:val="20"/>
          <w:lang w:val="en-US"/>
        </w:rPr>
        <w:t>is</w:t>
      </w:r>
      <w:proofErr w:type="gramEnd"/>
      <w:r w:rsidRPr="00AA67A9">
        <w:rPr>
          <w:color w:val="365F91" w:themeColor="accent1" w:themeShade="BF"/>
          <w:sz w:val="20"/>
          <w:lang w:val="en-US"/>
        </w:rPr>
        <w:t xml:space="preserve"> completed by </w:t>
      </w:r>
      <w:proofErr w:type="spellStart"/>
      <w:r w:rsidR="00BC0420" w:rsidRPr="00AA67A9">
        <w:rPr>
          <w:color w:val="365F91" w:themeColor="accent1" w:themeShade="BF"/>
          <w:sz w:val="20"/>
          <w:lang w:val="en-US"/>
        </w:rPr>
        <w:t>Viatris</w:t>
      </w:r>
      <w:proofErr w:type="spellEnd"/>
      <w:r w:rsidR="00BC0420" w:rsidRPr="00AA67A9">
        <w:rPr>
          <w:color w:val="365F91" w:themeColor="accent1" w:themeShade="BF"/>
          <w:sz w:val="20"/>
          <w:lang w:val="en-US"/>
        </w:rPr>
        <w:t xml:space="preserve"> (32.</w:t>
      </w:r>
      <w:r w:rsidR="00BC0420">
        <w:rPr>
          <w:color w:val="365F91" w:themeColor="accent1" w:themeShade="BF"/>
          <w:sz w:val="20"/>
          <w:lang w:val="en-US"/>
        </w:rPr>
        <w:t>8</w:t>
      </w:r>
      <w:r w:rsidR="00BC0420" w:rsidRPr="00AA67A9">
        <w:rPr>
          <w:color w:val="365F91" w:themeColor="accent1" w:themeShade="BF"/>
          <w:sz w:val="20"/>
          <w:lang w:val="en-US"/>
        </w:rPr>
        <w:t xml:space="preserve"> million units)</w:t>
      </w:r>
      <w:r w:rsidR="00BC0420">
        <w:rPr>
          <w:color w:val="365F91" w:themeColor="accent1" w:themeShade="BF"/>
          <w:sz w:val="20"/>
          <w:lang w:val="en-US"/>
        </w:rPr>
        <w:t xml:space="preserve">, </w:t>
      </w:r>
      <w:r w:rsidRPr="00AA67A9">
        <w:rPr>
          <w:color w:val="365F91" w:themeColor="accent1" w:themeShade="BF"/>
          <w:sz w:val="20"/>
          <w:lang w:val="en-US"/>
        </w:rPr>
        <w:t>Krka (3</w:t>
      </w:r>
      <w:r w:rsidR="00BC0420">
        <w:rPr>
          <w:color w:val="365F91" w:themeColor="accent1" w:themeShade="BF"/>
          <w:sz w:val="20"/>
          <w:lang w:val="en-US"/>
        </w:rPr>
        <w:t>1.7</w:t>
      </w:r>
      <w:r w:rsidRPr="00AA67A9">
        <w:rPr>
          <w:color w:val="365F91" w:themeColor="accent1" w:themeShade="BF"/>
          <w:sz w:val="20"/>
          <w:lang w:val="en-US"/>
        </w:rPr>
        <w:t xml:space="preserve"> million units), </w:t>
      </w:r>
      <w:proofErr w:type="spellStart"/>
      <w:r w:rsidRPr="00AA67A9">
        <w:rPr>
          <w:color w:val="365F91" w:themeColor="accent1" w:themeShade="BF"/>
          <w:sz w:val="20"/>
          <w:lang w:val="en-US"/>
        </w:rPr>
        <w:t>Antibiotice</w:t>
      </w:r>
      <w:proofErr w:type="spellEnd"/>
      <w:r w:rsidRPr="00AA67A9">
        <w:rPr>
          <w:color w:val="365F91" w:themeColor="accent1" w:themeShade="BF"/>
          <w:sz w:val="20"/>
          <w:lang w:val="en-US"/>
        </w:rPr>
        <w:t xml:space="preserve"> (23.</w:t>
      </w:r>
      <w:r w:rsidR="00BC0420">
        <w:rPr>
          <w:color w:val="365F91" w:themeColor="accent1" w:themeShade="BF"/>
          <w:sz w:val="20"/>
          <w:lang w:val="en-US"/>
        </w:rPr>
        <w:t>8</w:t>
      </w:r>
      <w:r w:rsidRPr="00AA67A9">
        <w:rPr>
          <w:color w:val="365F91" w:themeColor="accent1" w:themeShade="BF"/>
          <w:sz w:val="20"/>
          <w:lang w:val="en-US"/>
        </w:rPr>
        <w:t xml:space="preserve"> million units), </w:t>
      </w:r>
      <w:proofErr w:type="spellStart"/>
      <w:r w:rsidRPr="00AA67A9">
        <w:rPr>
          <w:color w:val="365F91" w:themeColor="accent1" w:themeShade="BF"/>
          <w:sz w:val="20"/>
          <w:lang w:val="en-US"/>
        </w:rPr>
        <w:t>Menarini</w:t>
      </w:r>
      <w:proofErr w:type="spellEnd"/>
      <w:r w:rsidRPr="00AA67A9">
        <w:rPr>
          <w:color w:val="365F91" w:themeColor="accent1" w:themeShade="BF"/>
          <w:sz w:val="20"/>
          <w:lang w:val="en-US"/>
        </w:rPr>
        <w:t xml:space="preserve"> (22.</w:t>
      </w:r>
      <w:r w:rsidR="00BC0420">
        <w:rPr>
          <w:color w:val="365F91" w:themeColor="accent1" w:themeShade="BF"/>
          <w:sz w:val="20"/>
          <w:lang w:val="en-US"/>
        </w:rPr>
        <w:t>8</w:t>
      </w:r>
      <w:r w:rsidRPr="00AA67A9">
        <w:rPr>
          <w:color w:val="365F91" w:themeColor="accent1" w:themeShade="BF"/>
          <w:sz w:val="20"/>
          <w:lang w:val="en-US"/>
        </w:rPr>
        <w:t xml:space="preserve"> million units), </w:t>
      </w:r>
      <w:proofErr w:type="spellStart"/>
      <w:r w:rsidRPr="00AA67A9">
        <w:rPr>
          <w:color w:val="365F91" w:themeColor="accent1" w:themeShade="BF"/>
          <w:sz w:val="20"/>
          <w:lang w:val="en-US"/>
        </w:rPr>
        <w:t>Biofarm</w:t>
      </w:r>
      <w:proofErr w:type="spellEnd"/>
      <w:r w:rsidRPr="00AA67A9">
        <w:rPr>
          <w:color w:val="365F91" w:themeColor="accent1" w:themeShade="BF"/>
          <w:sz w:val="20"/>
          <w:lang w:val="en-US"/>
        </w:rPr>
        <w:t xml:space="preserve"> (20.</w:t>
      </w:r>
      <w:r w:rsidR="00BC0420">
        <w:rPr>
          <w:color w:val="365F91" w:themeColor="accent1" w:themeShade="BF"/>
          <w:sz w:val="20"/>
          <w:lang w:val="en-US"/>
        </w:rPr>
        <w:t>2</w:t>
      </w:r>
      <w:r w:rsidRPr="00AA67A9">
        <w:rPr>
          <w:color w:val="365F91" w:themeColor="accent1" w:themeShade="BF"/>
          <w:sz w:val="20"/>
          <w:lang w:val="en-US"/>
        </w:rPr>
        <w:t xml:space="preserve"> million units), Gedeon Richter (</w:t>
      </w:r>
      <w:r w:rsidR="00BC0420">
        <w:rPr>
          <w:color w:val="365F91" w:themeColor="accent1" w:themeShade="BF"/>
          <w:sz w:val="20"/>
          <w:lang w:val="en-US"/>
        </w:rPr>
        <w:t>19.8</w:t>
      </w:r>
      <w:r w:rsidRPr="00AA67A9">
        <w:rPr>
          <w:color w:val="365F91" w:themeColor="accent1" w:themeShade="BF"/>
          <w:sz w:val="20"/>
          <w:lang w:val="en-US"/>
        </w:rPr>
        <w:t xml:space="preserve"> million units) and </w:t>
      </w:r>
      <w:proofErr w:type="spellStart"/>
      <w:r w:rsidRPr="00AA67A9">
        <w:rPr>
          <w:color w:val="365F91" w:themeColor="accent1" w:themeShade="BF"/>
          <w:sz w:val="20"/>
          <w:lang w:val="en-US"/>
        </w:rPr>
        <w:t>Haleon</w:t>
      </w:r>
      <w:proofErr w:type="spellEnd"/>
      <w:r w:rsidRPr="00AA67A9">
        <w:rPr>
          <w:color w:val="365F91" w:themeColor="accent1" w:themeShade="BF"/>
          <w:sz w:val="20"/>
          <w:lang w:val="en-US"/>
        </w:rPr>
        <w:t xml:space="preserve"> (18.</w:t>
      </w:r>
      <w:r w:rsidR="00BC0420">
        <w:rPr>
          <w:color w:val="365F91" w:themeColor="accent1" w:themeShade="BF"/>
          <w:sz w:val="20"/>
          <w:lang w:val="en-US"/>
        </w:rPr>
        <w:t>4</w:t>
      </w:r>
      <w:r w:rsidRPr="00AA67A9">
        <w:rPr>
          <w:color w:val="365F91" w:themeColor="accent1" w:themeShade="BF"/>
          <w:sz w:val="20"/>
          <w:lang w:val="en-US"/>
        </w:rPr>
        <w:t xml:space="preserve"> million units).</w:t>
      </w:r>
    </w:p>
    <w:p w14:paraId="27843339" w14:textId="77777777" w:rsidR="00E85822" w:rsidRPr="000762D9" w:rsidRDefault="00E85822" w:rsidP="00AA67A9">
      <w:pPr>
        <w:pStyle w:val="BodyText"/>
        <w:ind w:right="-3"/>
        <w:rPr>
          <w:rFonts w:cs="Arial"/>
          <w:noProof/>
          <w:color w:val="365F91" w:themeColor="accent1" w:themeShade="BF"/>
          <w:sz w:val="18"/>
          <w:szCs w:val="18"/>
          <w:highlight w:val="yellow"/>
          <w:lang w:val="en-US"/>
        </w:rPr>
      </w:pPr>
    </w:p>
    <w:tbl>
      <w:tblPr>
        <w:tblStyle w:val="LightGrid-Accent11"/>
        <w:tblW w:w="799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10"/>
        <w:gridCol w:w="3420"/>
        <w:gridCol w:w="1800"/>
        <w:gridCol w:w="1260"/>
        <w:gridCol w:w="900"/>
      </w:tblGrid>
      <w:tr w:rsidR="00E31928" w:rsidRPr="000F6A26" w14:paraId="4C1B2FAC" w14:textId="77777777" w:rsidTr="000F6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Merge w:val="restart"/>
            <w:vAlign w:val="center"/>
            <w:hideMark/>
          </w:tcPr>
          <w:p w14:paraId="022F4C82" w14:textId="77777777" w:rsidR="00E31928" w:rsidRPr="00E85822" w:rsidRDefault="00E31928" w:rsidP="00E31928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proofErr w:type="spellStart"/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Crt</w:t>
            </w:r>
            <w:proofErr w:type="spellEnd"/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. No.</w:t>
            </w:r>
          </w:p>
        </w:tc>
        <w:tc>
          <w:tcPr>
            <w:tcW w:w="3420" w:type="dxa"/>
            <w:vMerge w:val="restart"/>
            <w:vAlign w:val="center"/>
            <w:hideMark/>
          </w:tcPr>
          <w:p w14:paraId="6B96BE44" w14:textId="77777777" w:rsidR="00E31928" w:rsidRPr="00E85822" w:rsidRDefault="00E31928" w:rsidP="00E3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</w:p>
          <w:p w14:paraId="110E1988" w14:textId="77777777" w:rsidR="00E31928" w:rsidRPr="00E85822" w:rsidRDefault="00E31928" w:rsidP="00E3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Corporation</w:t>
            </w:r>
          </w:p>
        </w:tc>
        <w:tc>
          <w:tcPr>
            <w:tcW w:w="1800" w:type="dxa"/>
            <w:vAlign w:val="center"/>
            <w:hideMark/>
          </w:tcPr>
          <w:p w14:paraId="64F638B7" w14:textId="5EB9B971" w:rsidR="00E31928" w:rsidRPr="00E85822" w:rsidRDefault="005412F0" w:rsidP="00541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lang w:val="en-US"/>
              </w:rPr>
              <w:t>2</w:t>
            </w:r>
            <w:r w:rsidRPr="005412F0"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lang w:val="en-US"/>
              </w:rPr>
              <w:t xml:space="preserve"> </w:t>
            </w:r>
            <w:r w:rsidR="00E31928" w:rsidRPr="00E85822">
              <w:rPr>
                <w:rFonts w:ascii="Arial" w:eastAsia="Times New Roman" w:hAnsi="Arial" w:cs="Arial"/>
                <w:color w:val="365F91"/>
                <w:sz w:val="18"/>
                <w:szCs w:val="18"/>
                <w:lang w:val="en-US"/>
              </w:rPr>
              <w:t>Quarter 202</w:t>
            </w:r>
            <w:r w:rsidR="00E31928" w:rsidRPr="00E85822"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lang w:val="en-US"/>
              </w:rPr>
              <w:t>5</w:t>
            </w:r>
          </w:p>
        </w:tc>
        <w:tc>
          <w:tcPr>
            <w:tcW w:w="2160" w:type="dxa"/>
            <w:gridSpan w:val="2"/>
            <w:vAlign w:val="center"/>
            <w:hideMark/>
          </w:tcPr>
          <w:p w14:paraId="54EABB2A" w14:textId="6784C990" w:rsidR="00E31928" w:rsidRPr="00E85822" w:rsidRDefault="00E31928" w:rsidP="00E3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/>
                <w:sz w:val="18"/>
                <w:szCs w:val="18"/>
              </w:rPr>
              <w:t>MAT (2025-Q</w:t>
            </w:r>
            <w:r w:rsidR="005412F0">
              <w:rPr>
                <w:rFonts w:ascii="Arial" w:hAnsi="Arial" w:cs="Arial"/>
                <w:bCs w:val="0"/>
                <w:color w:val="365F91"/>
                <w:sz w:val="18"/>
                <w:szCs w:val="18"/>
              </w:rPr>
              <w:t>2</w:t>
            </w:r>
            <w:r w:rsidRPr="00E85822">
              <w:rPr>
                <w:rFonts w:ascii="Arial" w:hAnsi="Arial" w:cs="Arial"/>
                <w:bCs w:val="0"/>
                <w:color w:val="365F91"/>
                <w:sz w:val="18"/>
                <w:szCs w:val="18"/>
              </w:rPr>
              <w:t>)</w:t>
            </w:r>
          </w:p>
        </w:tc>
      </w:tr>
      <w:tr w:rsidR="007F17F0" w:rsidRPr="000F6A26" w14:paraId="65A06765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Merge/>
            <w:vAlign w:val="center"/>
            <w:hideMark/>
          </w:tcPr>
          <w:p w14:paraId="4A00A529" w14:textId="77777777" w:rsidR="007F17F0" w:rsidRPr="00E85822" w:rsidRDefault="007F17F0" w:rsidP="007F17F0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14:paraId="15CD0145" w14:textId="77777777" w:rsidR="007F17F0" w:rsidRPr="00E85822" w:rsidRDefault="007F17F0" w:rsidP="007F1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  <w:hideMark/>
          </w:tcPr>
          <w:p w14:paraId="74B672B4" w14:textId="77777777" w:rsidR="007F17F0" w:rsidRPr="00E85822" w:rsidRDefault="007F17F0" w:rsidP="007F1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(</w:t>
            </w:r>
            <w:proofErr w:type="spellStart"/>
            <w:r w:rsidRPr="00E85822">
              <w:rPr>
                <w:rFonts w:ascii="Arial" w:hAnsi="Arial"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mn</w:t>
            </w:r>
            <w:proofErr w:type="spellEnd"/>
            <w:r w:rsidRPr="00E85822">
              <w:rPr>
                <w:rFonts w:ascii="Arial" w:hAnsi="Arial"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units)</w:t>
            </w:r>
          </w:p>
        </w:tc>
        <w:tc>
          <w:tcPr>
            <w:tcW w:w="1260" w:type="dxa"/>
            <w:vAlign w:val="center"/>
            <w:hideMark/>
          </w:tcPr>
          <w:p w14:paraId="165B5DE7" w14:textId="77777777" w:rsidR="007F17F0" w:rsidRPr="00E85822" w:rsidRDefault="007F17F0" w:rsidP="007F1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(</w:t>
            </w:r>
            <w:proofErr w:type="spellStart"/>
            <w:r w:rsidRPr="00E85822">
              <w:rPr>
                <w:rFonts w:ascii="Arial" w:hAnsi="Arial"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mn</w:t>
            </w:r>
            <w:proofErr w:type="spellEnd"/>
            <w:r w:rsidRPr="00E85822">
              <w:rPr>
                <w:rFonts w:ascii="Arial" w:hAnsi="Arial"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units)</w:t>
            </w:r>
          </w:p>
        </w:tc>
        <w:tc>
          <w:tcPr>
            <w:tcW w:w="900" w:type="dxa"/>
            <w:vAlign w:val="center"/>
            <w:hideMark/>
          </w:tcPr>
          <w:p w14:paraId="4A2E19CB" w14:textId="77777777" w:rsidR="007F17F0" w:rsidRPr="00E85822" w:rsidRDefault="007F17F0" w:rsidP="007F1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  <w:t>(%)</w:t>
            </w:r>
          </w:p>
        </w:tc>
      </w:tr>
      <w:tr w:rsidR="005412F0" w:rsidRPr="000F6A26" w14:paraId="3998AB06" w14:textId="77777777" w:rsidTr="005412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gridSpan w:val="2"/>
            <w:vAlign w:val="center"/>
            <w:hideMark/>
          </w:tcPr>
          <w:p w14:paraId="55AB880C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Total market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08F25F4" w14:textId="648F63A8" w:rsidR="005412F0" w:rsidRPr="00E85822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172.2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AFC333" w14:textId="4CD5AB6E" w:rsidR="005412F0" w:rsidRPr="00E85822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717.3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E07942" w14:textId="407EA7F9" w:rsidR="005412F0" w:rsidRPr="00E85822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100.0%</w:t>
            </w:r>
          </w:p>
        </w:tc>
      </w:tr>
      <w:tr w:rsidR="005412F0" w:rsidRPr="000F6A26" w14:paraId="4F2D3E97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30E5DB0C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7D113B57" w14:textId="0F73DF8B" w:rsidR="005412F0" w:rsidRPr="00E85822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85822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SUN PHARMA</w:t>
            </w:r>
            <w:r w:rsidRPr="00E85822"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191E6C99" w14:textId="7881E1FC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3F38E3F4" w14:textId="65021EBD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048DCE3A" w14:textId="458DA437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10.1%</w:t>
            </w:r>
          </w:p>
        </w:tc>
      </w:tr>
      <w:tr w:rsidR="005412F0" w:rsidRPr="000F6A26" w14:paraId="17EC0843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15C7178D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1DF36E5" w14:textId="6B5381D4" w:rsidR="005412F0" w:rsidRPr="00E85822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85822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ZENTIVA</w:t>
            </w:r>
            <w:r w:rsidRPr="00E85822"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B49AB49" w14:textId="577D9DE3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43CDCEC" w14:textId="005D5B5E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DF4158F" w14:textId="5240D8B5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8.9%</w:t>
            </w:r>
          </w:p>
        </w:tc>
      </w:tr>
      <w:tr w:rsidR="005412F0" w:rsidRPr="000F6A26" w14:paraId="4E6467C0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5505A8D0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52A0F6C" w14:textId="7DA893E7" w:rsidR="005412F0" w:rsidRPr="00E85822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E85822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SERVIER</w:t>
            </w:r>
            <w:r w:rsidRPr="00E85822"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99E9699" w14:textId="07AFE99F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640448CA" w14:textId="23A98CCE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44.1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13696C17" w14:textId="0EE83A01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6.2%</w:t>
            </w:r>
          </w:p>
        </w:tc>
      </w:tr>
      <w:tr w:rsidR="005412F0" w:rsidRPr="000F6A26" w14:paraId="6E33B1FD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7CED0FD5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D854B7A" w14:textId="6239630E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VIATRIS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DAD4CC7" w14:textId="14776835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C6756BF" w14:textId="55915C32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37798F5" w14:textId="4442EE99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4.6%</w:t>
            </w:r>
          </w:p>
        </w:tc>
      </w:tr>
      <w:tr w:rsidR="005412F0" w:rsidRPr="000F6A26" w14:paraId="5D310D99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50401F96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</w:tcPr>
          <w:p w14:paraId="47088DE4" w14:textId="054211A6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KRKA D.D.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E3839D9" w14:textId="1DB027F5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3E100164" w14:textId="47024031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07121EB7" w14:textId="3C0A9366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4.4%</w:t>
            </w:r>
          </w:p>
        </w:tc>
      </w:tr>
      <w:tr w:rsidR="005412F0" w:rsidRPr="000F6A26" w14:paraId="79013CEC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3DE38C7C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D914C15" w14:textId="211295B6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ANTIBIOTICE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A20B612" w14:textId="1AE510D4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3F58E5B" w14:textId="43640609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E630D47" w14:textId="19F74169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3.3%</w:t>
            </w:r>
          </w:p>
        </w:tc>
      </w:tr>
      <w:tr w:rsidR="005412F0" w:rsidRPr="000F6A26" w14:paraId="638FB9C7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3F8B2BA9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916CB09" w14:textId="44C0ADAA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MENARINI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A77ED89" w14:textId="449779CE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45E095BC" w14:textId="6C0369E2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53DD1587" w14:textId="3CA2EDDC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3.2%</w:t>
            </w:r>
          </w:p>
        </w:tc>
      </w:tr>
      <w:tr w:rsidR="005412F0" w:rsidRPr="000F6A26" w14:paraId="3F44737F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1BD6EA0D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EDDB7A3" w14:textId="74B94E64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BIOFARM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ADAA38F" w14:textId="15EA6231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0C17964" w14:textId="4ADDA9E2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95AE65E" w14:textId="1D6006D7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2.8%</w:t>
            </w:r>
          </w:p>
        </w:tc>
      </w:tr>
      <w:tr w:rsidR="005412F0" w:rsidRPr="000F6A26" w14:paraId="40FBB033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400FB6B0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35E058D4" w14:textId="412144A7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GEDEON RICHTER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7ABC7D27" w14:textId="708F2ACC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2C1A2D97" w14:textId="563FDE0F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0353CD68" w14:textId="30CFAFA0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2.8%</w:t>
            </w:r>
          </w:p>
        </w:tc>
      </w:tr>
      <w:tr w:rsidR="005412F0" w:rsidRPr="000F6A26" w14:paraId="2AE201C0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12A36ED2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2DF340D" w14:textId="07C25664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HALEON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7DC8E51" w14:textId="2E2FED3D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34CB117" w14:textId="2AD19548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03275E8" w14:textId="0B40D426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2.6%</w:t>
            </w:r>
          </w:p>
        </w:tc>
      </w:tr>
      <w:tr w:rsidR="005412F0" w:rsidRPr="000F6A26" w14:paraId="42453C4F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gridSpan w:val="2"/>
            <w:vAlign w:val="center"/>
            <w:hideMark/>
          </w:tcPr>
          <w:p w14:paraId="3B69ECA2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Top 10 Subtotal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14:paraId="69A7C875" w14:textId="77EC4EEE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84.4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</w:tcPr>
          <w:p w14:paraId="64C226E4" w14:textId="02102F76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349.7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</w:tcPr>
          <w:p w14:paraId="075AD25F" w14:textId="55EC0059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48.8%</w:t>
            </w:r>
          </w:p>
        </w:tc>
      </w:tr>
      <w:tr w:rsidR="005412F0" w:rsidRPr="000F6A26" w14:paraId="07A786BF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75278C92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948B022" w14:textId="6A897C86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CD&amp;R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499BBD4" w14:textId="1A486072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8C785B0" w14:textId="16C51211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9608A53" w14:textId="01F4E25E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2.4%</w:t>
            </w:r>
          </w:p>
        </w:tc>
      </w:tr>
      <w:tr w:rsidR="005412F0" w:rsidRPr="000F6A26" w14:paraId="19D0EB32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40E8F2C7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</w:tcPr>
          <w:p w14:paraId="43B68845" w14:textId="5DF53865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RECKITT BENCKISER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4C969FF3" w14:textId="0098D723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498301CC" w14:textId="5149AD98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41E8C4C1" w14:textId="0E75A7A7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2.4%</w:t>
            </w:r>
          </w:p>
        </w:tc>
      </w:tr>
      <w:tr w:rsidR="005412F0" w:rsidRPr="000F6A26" w14:paraId="111DD2A6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7EDB90C9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4E74FE" w14:textId="632A75CC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SANDOZ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4EB056D" w14:textId="0E7EF94E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73BCF35" w14:textId="7A59FD0C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890F53" w14:textId="31AC2BBF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2.0%</w:t>
            </w:r>
          </w:p>
        </w:tc>
      </w:tr>
      <w:tr w:rsidR="005412F0" w:rsidRPr="000F6A26" w14:paraId="0BABC9C4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4026E892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</w:tcPr>
          <w:p w14:paraId="2FB500B5" w14:textId="518500B1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DR. MAX PHARMA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4DE8E729" w14:textId="64A88D94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7AF8EDB4" w14:textId="58064D12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3AC3FC1D" w14:textId="49891667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1.9%</w:t>
            </w:r>
          </w:p>
        </w:tc>
      </w:tr>
      <w:tr w:rsidR="005412F0" w:rsidRPr="000F6A26" w14:paraId="5678B719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586826E3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A8C5A2" w14:textId="04978F32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MERCK </w:t>
            </w:r>
            <w:proofErr w:type="spellStart"/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KGaA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1BB2924C" w14:textId="77237716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CA33B29" w14:textId="5C380F4A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D216DA9" w14:textId="25E89471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1.8%</w:t>
            </w:r>
          </w:p>
        </w:tc>
      </w:tr>
      <w:tr w:rsidR="005412F0" w:rsidRPr="000F6A26" w14:paraId="5F111EDE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70151797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</w:tcPr>
          <w:p w14:paraId="7436F011" w14:textId="41C82415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SANOFI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7AA4B1E3" w14:textId="7DD09385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1B493918" w14:textId="4C175CAA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63200949" w14:textId="72E554E4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1.7%</w:t>
            </w:r>
          </w:p>
        </w:tc>
      </w:tr>
      <w:tr w:rsidR="005412F0" w:rsidRPr="000F6A26" w14:paraId="0FD21219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2EDA1353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F242779" w14:textId="2B91A412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TEVA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90B425F" w14:textId="4C9EDFFB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2FFE0244" w14:textId="516C8752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EA9B6AE" w14:textId="3963E899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1.6%</w:t>
            </w:r>
          </w:p>
        </w:tc>
      </w:tr>
      <w:tr w:rsidR="005412F0" w:rsidRPr="000F6A26" w14:paraId="2BB03B09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090CF73E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</w:tcPr>
          <w:p w14:paraId="5175B4CD" w14:textId="31C6C3BE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GLAXOSMITHKLINE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2BA60DEA" w14:textId="771CF3DA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1C70A400" w14:textId="74EC1CBA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28504D3F" w14:textId="52A634A7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1.5%</w:t>
            </w:r>
          </w:p>
        </w:tc>
      </w:tr>
      <w:tr w:rsidR="005412F0" w:rsidRPr="000F6A26" w14:paraId="494E9370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22D5973F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181098" w14:textId="7D27D3D5" w:rsidR="005412F0" w:rsidRPr="005412F0" w:rsidRDefault="005412F0" w:rsidP="0054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NATUR PRODUKT ZDROVIT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14186B6" w14:textId="09C7384D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79D9D8BE" w14:textId="17133F10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55CEF21" w14:textId="4F77A252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1.5%</w:t>
            </w:r>
          </w:p>
        </w:tc>
      </w:tr>
      <w:tr w:rsidR="005412F0" w:rsidRPr="000F6A26" w14:paraId="155EB379" w14:textId="77777777" w:rsidTr="000F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  <w:hideMark/>
          </w:tcPr>
          <w:p w14:paraId="667B1058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</w:tcPr>
          <w:p w14:paraId="1A2EE5F3" w14:textId="42155146" w:rsidR="005412F0" w:rsidRPr="005412F0" w:rsidRDefault="005412F0" w:rsidP="0054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ANGELINI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143856EC" w14:textId="031746FB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506B65B0" w14:textId="4894DE57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DEBF7"/>
            <w:vAlign w:val="center"/>
            <w:hideMark/>
          </w:tcPr>
          <w:p w14:paraId="4328F57E" w14:textId="07F328C4" w:rsidR="005412F0" w:rsidRPr="005412F0" w:rsidRDefault="005412F0" w:rsidP="0054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color w:val="365F91"/>
                <w:sz w:val="18"/>
                <w:szCs w:val="18"/>
              </w:rPr>
              <w:t>1.3%</w:t>
            </w:r>
          </w:p>
        </w:tc>
      </w:tr>
      <w:tr w:rsidR="005412F0" w:rsidRPr="000F6A26" w14:paraId="35D465A8" w14:textId="77777777" w:rsidTr="000F6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gridSpan w:val="2"/>
            <w:vAlign w:val="center"/>
            <w:hideMark/>
          </w:tcPr>
          <w:p w14:paraId="6D17F47B" w14:textId="77777777" w:rsidR="005412F0" w:rsidRPr="00E85822" w:rsidRDefault="005412F0" w:rsidP="005412F0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</w:pPr>
            <w:r w:rsidRPr="00E85822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en-US"/>
              </w:rPr>
              <w:t>Top 20 Subtotal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B0B167B" w14:textId="4FA9C6FC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115.2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36A5A02" w14:textId="1F2FD0A7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480.7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0BB2BB" w14:textId="7DFB4005" w:rsidR="005412F0" w:rsidRPr="005412F0" w:rsidRDefault="005412F0" w:rsidP="005412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5412F0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67.0%</w:t>
            </w:r>
          </w:p>
        </w:tc>
      </w:tr>
    </w:tbl>
    <w:p w14:paraId="2762A4C4" w14:textId="77777777" w:rsidR="00BC0420" w:rsidRDefault="00BC0420" w:rsidP="00920279">
      <w:pPr>
        <w:tabs>
          <w:tab w:val="left" w:pos="810"/>
          <w:tab w:val="left" w:pos="900"/>
        </w:tabs>
        <w:spacing w:after="0"/>
        <w:ind w:right="1"/>
        <w:jc w:val="both"/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</w:pPr>
    </w:p>
    <w:p w14:paraId="0B92880A" w14:textId="0E57ADBA" w:rsidR="00920279" w:rsidRDefault="007F17F0" w:rsidP="00920279">
      <w:pPr>
        <w:tabs>
          <w:tab w:val="left" w:pos="810"/>
          <w:tab w:val="left" w:pos="900"/>
        </w:tabs>
        <w:spacing w:after="0"/>
        <w:ind w:right="1"/>
        <w:jc w:val="both"/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</w:pPr>
      <w:r w:rsidRPr="000762D9"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  <w:lastRenderedPageBreak/>
        <w:t>Top 20 Corporations by Value</w:t>
      </w:r>
      <w:r w:rsidR="001A5697">
        <w:rPr>
          <w:rFonts w:ascii="Arial" w:hAnsi="Arial"/>
          <w:b/>
          <w:bCs/>
          <w:color w:val="365F91" w:themeColor="accent1" w:themeShade="BF"/>
          <w:szCs w:val="22"/>
          <w:u w:val="single"/>
          <w:lang w:val="en-US"/>
        </w:rPr>
        <w:t>*</w:t>
      </w:r>
    </w:p>
    <w:p w14:paraId="0F799ABD" w14:textId="77777777" w:rsidR="009D7EF7" w:rsidRPr="000762D9" w:rsidRDefault="009D7EF7" w:rsidP="00920279">
      <w:pPr>
        <w:tabs>
          <w:tab w:val="left" w:pos="810"/>
          <w:tab w:val="left" w:pos="900"/>
        </w:tabs>
        <w:spacing w:after="0"/>
        <w:ind w:right="1"/>
        <w:jc w:val="both"/>
        <w:rPr>
          <w:rFonts w:ascii="Arial" w:hAnsi="Arial" w:cs="Arial"/>
          <w:b/>
          <w:bCs/>
          <w:color w:val="365F91" w:themeColor="accent1" w:themeShade="BF"/>
          <w:szCs w:val="22"/>
          <w:u w:val="single"/>
          <w:lang w:val="en-US"/>
        </w:rPr>
      </w:pPr>
    </w:p>
    <w:p w14:paraId="30D61A2F" w14:textId="0310BB92" w:rsidR="004C0111" w:rsidRPr="004C0111" w:rsidRDefault="004C0111" w:rsidP="004C0111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  <w:bookmarkStart w:id="1" w:name="_GoBack"/>
      <w:r w:rsidRPr="004C0111">
        <w:rPr>
          <w:color w:val="365F91" w:themeColor="accent1" w:themeShade="BF"/>
          <w:sz w:val="20"/>
          <w:lang w:val="en-US"/>
        </w:rPr>
        <w:t xml:space="preserve">In the </w:t>
      </w:r>
      <w:r w:rsidR="002D59DF">
        <w:rPr>
          <w:color w:val="365F91" w:themeColor="accent1" w:themeShade="BF"/>
          <w:sz w:val="20"/>
          <w:lang w:val="en-US"/>
        </w:rPr>
        <w:t>second</w:t>
      </w:r>
      <w:r w:rsidRPr="004C0111">
        <w:rPr>
          <w:color w:val="365F91" w:themeColor="accent1" w:themeShade="BF"/>
          <w:sz w:val="20"/>
          <w:lang w:val="en-US"/>
        </w:rPr>
        <w:t xml:space="preserve"> quarter of 202</w:t>
      </w:r>
      <w:r w:rsidR="00E85822">
        <w:rPr>
          <w:color w:val="365F91" w:themeColor="accent1" w:themeShade="BF"/>
          <w:sz w:val="20"/>
          <w:lang w:val="en-US"/>
        </w:rPr>
        <w:t>5</w:t>
      </w:r>
      <w:r w:rsidRPr="004C0111">
        <w:rPr>
          <w:color w:val="365F91" w:themeColor="accent1" w:themeShade="BF"/>
          <w:sz w:val="20"/>
          <w:lang w:val="en-US"/>
        </w:rPr>
        <w:t xml:space="preserve">, the top three </w:t>
      </w:r>
      <w:r w:rsidR="004E1341">
        <w:rPr>
          <w:color w:val="365F91" w:themeColor="accent1" w:themeShade="BF"/>
          <w:sz w:val="20"/>
          <w:lang w:val="en-US"/>
        </w:rPr>
        <w:t>hierarchy</w:t>
      </w:r>
      <w:r w:rsidRPr="004C0111">
        <w:rPr>
          <w:color w:val="365F91" w:themeColor="accent1" w:themeShade="BF"/>
          <w:sz w:val="20"/>
          <w:lang w:val="en-US"/>
        </w:rPr>
        <w:t xml:space="preserve"> by value </w:t>
      </w:r>
      <w:r w:rsidR="002D59DF">
        <w:rPr>
          <w:color w:val="365F91" w:themeColor="accent1" w:themeShade="BF"/>
          <w:sz w:val="20"/>
          <w:lang w:val="en-US"/>
        </w:rPr>
        <w:t xml:space="preserve">hasn’t </w:t>
      </w:r>
      <w:r w:rsidR="00D63B25">
        <w:rPr>
          <w:color w:val="365F91" w:themeColor="accent1" w:themeShade="BF"/>
          <w:sz w:val="20"/>
          <w:lang w:val="en-US"/>
        </w:rPr>
        <w:t>changed vs</w:t>
      </w:r>
      <w:r w:rsidR="000F6A26">
        <w:rPr>
          <w:color w:val="365F91" w:themeColor="accent1" w:themeShade="BF"/>
          <w:sz w:val="20"/>
          <w:lang w:val="en-US"/>
        </w:rPr>
        <w:t xml:space="preserve"> the previous quarter</w:t>
      </w:r>
      <w:r w:rsidRPr="004C0111">
        <w:rPr>
          <w:color w:val="365F91" w:themeColor="accent1" w:themeShade="BF"/>
          <w:sz w:val="20"/>
          <w:lang w:val="en-US"/>
        </w:rPr>
        <w:t xml:space="preserve">. AstraZeneca </w:t>
      </w:r>
      <w:r w:rsidR="00D63B25">
        <w:rPr>
          <w:color w:val="365F91" w:themeColor="accent1" w:themeShade="BF"/>
          <w:sz w:val="20"/>
          <w:lang w:val="en-US"/>
        </w:rPr>
        <w:t xml:space="preserve">maintained the </w:t>
      </w:r>
      <w:r w:rsidRPr="004C0111">
        <w:rPr>
          <w:color w:val="365F91" w:themeColor="accent1" w:themeShade="BF"/>
          <w:sz w:val="20"/>
          <w:lang w:val="en-US"/>
        </w:rPr>
        <w:t>le</w:t>
      </w:r>
      <w:r w:rsidR="00D63B25">
        <w:rPr>
          <w:color w:val="365F91" w:themeColor="accent1" w:themeShade="BF"/>
          <w:sz w:val="20"/>
          <w:lang w:val="en-US"/>
        </w:rPr>
        <w:t>a</w:t>
      </w:r>
      <w:r w:rsidRPr="004C0111">
        <w:rPr>
          <w:color w:val="365F91" w:themeColor="accent1" w:themeShade="BF"/>
          <w:sz w:val="20"/>
          <w:lang w:val="en-US"/>
        </w:rPr>
        <w:t>d</w:t>
      </w:r>
      <w:r w:rsidR="00D63B25">
        <w:rPr>
          <w:color w:val="365F91" w:themeColor="accent1" w:themeShade="BF"/>
          <w:sz w:val="20"/>
          <w:lang w:val="en-US"/>
        </w:rPr>
        <w:t>ing position</w:t>
      </w:r>
      <w:r w:rsidRPr="004C0111">
        <w:rPr>
          <w:color w:val="365F91" w:themeColor="accent1" w:themeShade="BF"/>
          <w:sz w:val="20"/>
          <w:lang w:val="en-US"/>
        </w:rPr>
        <w:t xml:space="preserve"> with RON </w:t>
      </w:r>
      <w:r w:rsidR="002D59DF" w:rsidRPr="00E21FC8">
        <w:rPr>
          <w:rFonts w:cs="Arial"/>
          <w:color w:val="365F91"/>
          <w:sz w:val="20"/>
          <w:lang w:val="en-US"/>
        </w:rPr>
        <w:t xml:space="preserve">513.0 </w:t>
      </w:r>
      <w:r w:rsidRPr="004C0111">
        <w:rPr>
          <w:color w:val="365F91" w:themeColor="accent1" w:themeShade="BF"/>
          <w:sz w:val="20"/>
          <w:lang w:val="en-US"/>
        </w:rPr>
        <w:t xml:space="preserve">million, </w:t>
      </w:r>
      <w:r w:rsidR="00E85822">
        <w:rPr>
          <w:color w:val="365F91" w:themeColor="accent1" w:themeShade="BF"/>
          <w:sz w:val="20"/>
          <w:lang w:val="en-US"/>
        </w:rPr>
        <w:t>followed by</w:t>
      </w:r>
      <w:r w:rsidR="000F6A26">
        <w:rPr>
          <w:color w:val="365F91" w:themeColor="accent1" w:themeShade="BF"/>
          <w:sz w:val="20"/>
          <w:lang w:val="en-US"/>
        </w:rPr>
        <w:t xml:space="preserve"> </w:t>
      </w:r>
      <w:r w:rsidR="005B3063" w:rsidRPr="004C0111">
        <w:rPr>
          <w:color w:val="365F91" w:themeColor="accent1" w:themeShade="BF"/>
          <w:sz w:val="20"/>
          <w:lang w:val="en-US"/>
        </w:rPr>
        <w:t>Sun Pharma (</w:t>
      </w:r>
      <w:r w:rsidR="000F6A26" w:rsidRPr="004C0111">
        <w:rPr>
          <w:color w:val="365F91" w:themeColor="accent1" w:themeShade="BF"/>
          <w:sz w:val="20"/>
          <w:lang w:val="en-US"/>
        </w:rPr>
        <w:t xml:space="preserve">RON </w:t>
      </w:r>
      <w:r w:rsidR="000F6A26" w:rsidRPr="00E21FC8">
        <w:rPr>
          <w:rFonts w:cs="Arial"/>
          <w:color w:val="365F91"/>
          <w:sz w:val="20"/>
          <w:lang w:val="en-US"/>
        </w:rPr>
        <w:t>4</w:t>
      </w:r>
      <w:r w:rsidR="002D59DF" w:rsidRPr="00E21FC8">
        <w:rPr>
          <w:rFonts w:cs="Arial"/>
          <w:color w:val="365F91"/>
          <w:sz w:val="20"/>
          <w:lang w:val="en-US"/>
        </w:rPr>
        <w:t>10.0</w:t>
      </w:r>
      <w:r w:rsidR="000F6A26" w:rsidRPr="00E21FC8">
        <w:rPr>
          <w:rFonts w:cs="Arial"/>
          <w:color w:val="365F91"/>
          <w:sz w:val="20"/>
          <w:lang w:val="en-US"/>
        </w:rPr>
        <w:t xml:space="preserve"> </w:t>
      </w:r>
      <w:r w:rsidR="000F6A26" w:rsidRPr="004C0111">
        <w:rPr>
          <w:color w:val="365F91" w:themeColor="accent1" w:themeShade="BF"/>
          <w:sz w:val="20"/>
          <w:lang w:val="en-US"/>
        </w:rPr>
        <w:t>million</w:t>
      </w:r>
      <w:r w:rsidR="000F6A26">
        <w:rPr>
          <w:color w:val="365F91" w:themeColor="accent1" w:themeShade="BF"/>
          <w:sz w:val="20"/>
          <w:lang w:val="en-US"/>
        </w:rPr>
        <w:t>,</w:t>
      </w:r>
      <w:r w:rsidR="000F6A26" w:rsidRPr="004C0111">
        <w:rPr>
          <w:color w:val="365F91" w:themeColor="accent1" w:themeShade="BF"/>
          <w:sz w:val="20"/>
          <w:lang w:val="en-US"/>
        </w:rPr>
        <w:t xml:space="preserve"> </w:t>
      </w:r>
      <w:r w:rsidR="005B3063" w:rsidRPr="004C0111">
        <w:rPr>
          <w:color w:val="365F91" w:themeColor="accent1" w:themeShade="BF"/>
          <w:sz w:val="20"/>
          <w:lang w:val="en-US"/>
        </w:rPr>
        <w:t xml:space="preserve">including </w:t>
      </w:r>
      <w:proofErr w:type="spellStart"/>
      <w:r w:rsidR="005B3063" w:rsidRPr="004C0111">
        <w:rPr>
          <w:color w:val="365F91" w:themeColor="accent1" w:themeShade="BF"/>
          <w:sz w:val="20"/>
          <w:lang w:val="en-US"/>
        </w:rPr>
        <w:t>Terapia</w:t>
      </w:r>
      <w:proofErr w:type="spellEnd"/>
      <w:r w:rsidR="005B3063" w:rsidRPr="004C0111">
        <w:rPr>
          <w:color w:val="365F91" w:themeColor="accent1" w:themeShade="BF"/>
          <w:sz w:val="20"/>
          <w:lang w:val="en-US"/>
        </w:rPr>
        <w:t xml:space="preserve">) </w:t>
      </w:r>
      <w:r w:rsidR="00E85822">
        <w:rPr>
          <w:color w:val="365F91" w:themeColor="accent1" w:themeShade="BF"/>
          <w:sz w:val="20"/>
          <w:lang w:val="en-US"/>
        </w:rPr>
        <w:t xml:space="preserve">and </w:t>
      </w:r>
      <w:proofErr w:type="spellStart"/>
      <w:r w:rsidR="00E85822">
        <w:rPr>
          <w:color w:val="365F91" w:themeColor="accent1" w:themeShade="BF"/>
          <w:sz w:val="20"/>
          <w:lang w:val="en-US"/>
        </w:rPr>
        <w:t>Zentiva</w:t>
      </w:r>
      <w:proofErr w:type="spellEnd"/>
      <w:r w:rsidR="00E85822">
        <w:rPr>
          <w:color w:val="365F91" w:themeColor="accent1" w:themeShade="BF"/>
          <w:sz w:val="20"/>
          <w:lang w:val="en-US"/>
        </w:rPr>
        <w:t xml:space="preserve"> (including </w:t>
      </w:r>
      <w:proofErr w:type="spellStart"/>
      <w:r w:rsidR="00E85822">
        <w:rPr>
          <w:color w:val="365F91" w:themeColor="accent1" w:themeShade="BF"/>
          <w:sz w:val="20"/>
          <w:lang w:val="en-US"/>
        </w:rPr>
        <w:t>Labormed</w:t>
      </w:r>
      <w:proofErr w:type="spellEnd"/>
      <w:r w:rsidR="00E85822">
        <w:rPr>
          <w:color w:val="365F91" w:themeColor="accent1" w:themeShade="BF"/>
          <w:sz w:val="20"/>
          <w:lang w:val="en-US"/>
        </w:rPr>
        <w:t xml:space="preserve"> and </w:t>
      </w:r>
      <w:proofErr w:type="spellStart"/>
      <w:r w:rsidR="00E85822">
        <w:rPr>
          <w:color w:val="365F91" w:themeColor="accent1" w:themeShade="BF"/>
          <w:sz w:val="20"/>
          <w:lang w:val="en-US"/>
        </w:rPr>
        <w:t>Alvogen</w:t>
      </w:r>
      <w:proofErr w:type="spellEnd"/>
      <w:r w:rsidR="00E85822">
        <w:rPr>
          <w:color w:val="365F91" w:themeColor="accent1" w:themeShade="BF"/>
          <w:sz w:val="20"/>
          <w:lang w:val="en-US"/>
        </w:rPr>
        <w:t>) with RON 3</w:t>
      </w:r>
      <w:r w:rsidR="002D59DF">
        <w:rPr>
          <w:color w:val="365F91" w:themeColor="accent1" w:themeShade="BF"/>
          <w:sz w:val="20"/>
          <w:lang w:val="en-US"/>
        </w:rPr>
        <w:t>74.9</w:t>
      </w:r>
      <w:bookmarkEnd w:id="1"/>
      <w:r w:rsidR="00E85822">
        <w:rPr>
          <w:color w:val="365F91" w:themeColor="accent1" w:themeShade="BF"/>
          <w:sz w:val="20"/>
          <w:lang w:val="en-US"/>
        </w:rPr>
        <w:t xml:space="preserve"> million</w:t>
      </w:r>
      <w:r w:rsidR="000F6A26">
        <w:rPr>
          <w:color w:val="365F91" w:themeColor="accent1" w:themeShade="BF"/>
          <w:sz w:val="20"/>
          <w:lang w:val="en-US"/>
        </w:rPr>
        <w:t>.</w:t>
      </w:r>
    </w:p>
    <w:p w14:paraId="20B7380C" w14:textId="77777777" w:rsidR="004C0111" w:rsidRPr="004C0111" w:rsidRDefault="004C0111" w:rsidP="004C0111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</w:p>
    <w:p w14:paraId="161D5FFD" w14:textId="77777777" w:rsidR="00AA37A6" w:rsidRDefault="00E01CC0" w:rsidP="004C0111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  <w:r w:rsidRPr="00E01CC0">
        <w:rPr>
          <w:color w:val="365F91" w:themeColor="accent1" w:themeShade="BF"/>
          <w:sz w:val="20"/>
          <w:lang w:val="en-US"/>
        </w:rPr>
        <w:t xml:space="preserve">Over the past twelve months, the ranking of the top three corporations by market value </w:t>
      </w:r>
      <w:r w:rsidR="00D63B25">
        <w:rPr>
          <w:color w:val="365F91" w:themeColor="accent1" w:themeShade="BF"/>
          <w:sz w:val="20"/>
          <w:lang w:val="en-US"/>
        </w:rPr>
        <w:t xml:space="preserve">also </w:t>
      </w:r>
      <w:r w:rsidR="002D59DF">
        <w:rPr>
          <w:color w:val="365F91" w:themeColor="accent1" w:themeShade="BF"/>
          <w:sz w:val="20"/>
          <w:lang w:val="en-US"/>
        </w:rPr>
        <w:t>remained the same</w:t>
      </w:r>
      <w:r w:rsidRPr="00E01CC0">
        <w:rPr>
          <w:color w:val="365F91" w:themeColor="accent1" w:themeShade="BF"/>
          <w:sz w:val="20"/>
          <w:lang w:val="en-US"/>
        </w:rPr>
        <w:t xml:space="preserve">. AstraZeneca maintained its position as the market leader with a valuation of RON </w:t>
      </w:r>
      <w:r w:rsidR="002D59DF" w:rsidRPr="002D59DF">
        <w:rPr>
          <w:color w:val="365F91" w:themeColor="accent1" w:themeShade="BF"/>
          <w:sz w:val="20"/>
          <w:lang w:val="en-US"/>
        </w:rPr>
        <w:t>1,932.8</w:t>
      </w:r>
      <w:r w:rsidR="002D59DF">
        <w:rPr>
          <w:color w:val="365F91" w:themeColor="accent1" w:themeShade="BF"/>
          <w:sz w:val="20"/>
          <w:lang w:val="en-US"/>
        </w:rPr>
        <w:t xml:space="preserve"> </w:t>
      </w:r>
      <w:r w:rsidRPr="00E01CC0">
        <w:rPr>
          <w:color w:val="365F91" w:themeColor="accent1" w:themeShade="BF"/>
          <w:sz w:val="20"/>
          <w:lang w:val="en-US"/>
        </w:rPr>
        <w:t xml:space="preserve">million. Sun Pharma (including </w:t>
      </w:r>
      <w:proofErr w:type="spellStart"/>
      <w:r w:rsidRPr="00E01CC0">
        <w:rPr>
          <w:color w:val="365F91" w:themeColor="accent1" w:themeShade="BF"/>
          <w:sz w:val="20"/>
          <w:lang w:val="en-US"/>
        </w:rPr>
        <w:t>Terapia</w:t>
      </w:r>
      <w:proofErr w:type="spellEnd"/>
      <w:r w:rsidRPr="00E01CC0">
        <w:rPr>
          <w:color w:val="365F91" w:themeColor="accent1" w:themeShade="BF"/>
          <w:sz w:val="20"/>
          <w:lang w:val="en-US"/>
        </w:rPr>
        <w:t xml:space="preserve">) </w:t>
      </w:r>
      <w:r w:rsidR="00B23608">
        <w:rPr>
          <w:color w:val="365F91" w:themeColor="accent1" w:themeShade="BF"/>
          <w:sz w:val="20"/>
          <w:lang w:val="en-US"/>
        </w:rPr>
        <w:t>maintained the</w:t>
      </w:r>
      <w:r w:rsidRPr="00E01CC0">
        <w:rPr>
          <w:color w:val="365F91" w:themeColor="accent1" w:themeShade="BF"/>
          <w:sz w:val="20"/>
          <w:lang w:val="en-US"/>
        </w:rPr>
        <w:t xml:space="preserve"> second place with RON </w:t>
      </w:r>
      <w:r w:rsidR="002D59DF" w:rsidRPr="002D59DF">
        <w:rPr>
          <w:color w:val="365F91" w:themeColor="accent1" w:themeShade="BF"/>
          <w:sz w:val="20"/>
          <w:lang w:val="en-US"/>
        </w:rPr>
        <w:t>1,623.4</w:t>
      </w:r>
      <w:r w:rsidR="002D59DF">
        <w:rPr>
          <w:color w:val="365F91" w:themeColor="accent1" w:themeShade="BF"/>
          <w:sz w:val="20"/>
          <w:lang w:val="en-US"/>
        </w:rPr>
        <w:t xml:space="preserve"> </w:t>
      </w:r>
      <w:r w:rsidRPr="00E01CC0">
        <w:rPr>
          <w:color w:val="365F91" w:themeColor="accent1" w:themeShade="BF"/>
          <w:sz w:val="20"/>
          <w:lang w:val="en-US"/>
        </w:rPr>
        <w:t xml:space="preserve">million, followed by </w:t>
      </w:r>
      <w:proofErr w:type="spellStart"/>
      <w:r w:rsidR="00E85822" w:rsidRPr="00E01CC0">
        <w:rPr>
          <w:color w:val="365F91" w:themeColor="accent1" w:themeShade="BF"/>
          <w:sz w:val="20"/>
          <w:lang w:val="en-US"/>
        </w:rPr>
        <w:t>Zentiva</w:t>
      </w:r>
      <w:proofErr w:type="spellEnd"/>
      <w:r w:rsidR="00E85822" w:rsidRPr="00E01CC0">
        <w:rPr>
          <w:color w:val="365F91" w:themeColor="accent1" w:themeShade="BF"/>
          <w:sz w:val="20"/>
          <w:lang w:val="en-US"/>
        </w:rPr>
        <w:t xml:space="preserve"> (alongside </w:t>
      </w:r>
      <w:proofErr w:type="spellStart"/>
      <w:r w:rsidR="00E85822" w:rsidRPr="00E01CC0">
        <w:rPr>
          <w:color w:val="365F91" w:themeColor="accent1" w:themeShade="BF"/>
          <w:sz w:val="20"/>
          <w:lang w:val="en-US"/>
        </w:rPr>
        <w:t>Alvogen</w:t>
      </w:r>
      <w:proofErr w:type="spellEnd"/>
      <w:r w:rsidR="00E85822" w:rsidRPr="00E01CC0">
        <w:rPr>
          <w:color w:val="365F91" w:themeColor="accent1" w:themeShade="BF"/>
          <w:sz w:val="20"/>
          <w:lang w:val="en-US"/>
        </w:rPr>
        <w:t xml:space="preserve"> and </w:t>
      </w:r>
      <w:proofErr w:type="spellStart"/>
      <w:r w:rsidR="00E85822" w:rsidRPr="00E01CC0">
        <w:rPr>
          <w:color w:val="365F91" w:themeColor="accent1" w:themeShade="BF"/>
          <w:sz w:val="20"/>
          <w:lang w:val="en-US"/>
        </w:rPr>
        <w:t>Labormed</w:t>
      </w:r>
      <w:proofErr w:type="spellEnd"/>
      <w:r w:rsidR="00E85822" w:rsidRPr="00E01CC0">
        <w:rPr>
          <w:color w:val="365F91" w:themeColor="accent1" w:themeShade="BF"/>
          <w:sz w:val="20"/>
          <w:lang w:val="en-US"/>
        </w:rPr>
        <w:t xml:space="preserve">) </w:t>
      </w:r>
      <w:r w:rsidRPr="00E01CC0">
        <w:rPr>
          <w:color w:val="365F91" w:themeColor="accent1" w:themeShade="BF"/>
          <w:sz w:val="20"/>
          <w:lang w:val="en-US"/>
        </w:rPr>
        <w:t>at RON 1,5</w:t>
      </w:r>
      <w:r w:rsidR="002D59DF">
        <w:rPr>
          <w:color w:val="365F91" w:themeColor="accent1" w:themeShade="BF"/>
          <w:sz w:val="20"/>
          <w:lang w:val="en-US"/>
        </w:rPr>
        <w:t>18.9</w:t>
      </w:r>
      <w:r w:rsidRPr="00E01CC0">
        <w:rPr>
          <w:color w:val="365F91" w:themeColor="accent1" w:themeShade="BF"/>
          <w:sz w:val="20"/>
          <w:lang w:val="en-US"/>
        </w:rPr>
        <w:t xml:space="preserve"> million. </w:t>
      </w:r>
    </w:p>
    <w:p w14:paraId="01B5AAA3" w14:textId="268D4F06" w:rsidR="004C0111" w:rsidRDefault="00E01CC0" w:rsidP="004C0111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  <w:r w:rsidRPr="00E01CC0">
        <w:rPr>
          <w:color w:val="365F91" w:themeColor="accent1" w:themeShade="BF"/>
          <w:sz w:val="20"/>
          <w:lang w:val="en-US"/>
        </w:rPr>
        <w:t xml:space="preserve">The top ten also featured </w:t>
      </w:r>
      <w:r w:rsidR="00E85822" w:rsidRPr="00E01CC0">
        <w:rPr>
          <w:color w:val="365F91" w:themeColor="accent1" w:themeShade="BF"/>
          <w:sz w:val="20"/>
          <w:lang w:val="en-US"/>
        </w:rPr>
        <w:t xml:space="preserve">Johnson &amp; Johnson </w:t>
      </w:r>
      <w:r w:rsidRPr="00E01CC0">
        <w:rPr>
          <w:color w:val="365F91" w:themeColor="accent1" w:themeShade="BF"/>
          <w:sz w:val="20"/>
          <w:lang w:val="en-US"/>
        </w:rPr>
        <w:t xml:space="preserve">with RON </w:t>
      </w:r>
      <w:r w:rsidR="002D59DF" w:rsidRPr="002D59DF">
        <w:rPr>
          <w:color w:val="365F91" w:themeColor="accent1" w:themeShade="BF"/>
          <w:sz w:val="20"/>
          <w:lang w:val="en-US"/>
        </w:rPr>
        <w:t>1,323.0</w:t>
      </w:r>
      <w:r w:rsidR="002D59DF">
        <w:rPr>
          <w:color w:val="365F91" w:themeColor="accent1" w:themeShade="BF"/>
          <w:sz w:val="20"/>
          <w:lang w:val="en-US"/>
        </w:rPr>
        <w:t xml:space="preserve"> </w:t>
      </w:r>
      <w:r w:rsidRPr="00E01CC0">
        <w:rPr>
          <w:color w:val="365F91" w:themeColor="accent1" w:themeShade="BF"/>
          <w:sz w:val="20"/>
          <w:lang w:val="en-US"/>
        </w:rPr>
        <w:t xml:space="preserve">million, </w:t>
      </w:r>
      <w:proofErr w:type="spellStart"/>
      <w:r w:rsidR="00E85822" w:rsidRPr="00E01CC0">
        <w:rPr>
          <w:color w:val="365F91" w:themeColor="accent1" w:themeShade="BF"/>
          <w:sz w:val="20"/>
          <w:lang w:val="en-US"/>
        </w:rPr>
        <w:t>Servier</w:t>
      </w:r>
      <w:proofErr w:type="spellEnd"/>
      <w:r w:rsidR="00E85822" w:rsidRPr="00E01CC0">
        <w:rPr>
          <w:color w:val="365F91" w:themeColor="accent1" w:themeShade="BF"/>
          <w:sz w:val="20"/>
          <w:lang w:val="en-US"/>
        </w:rPr>
        <w:t xml:space="preserve"> (including Egis) </w:t>
      </w:r>
      <w:r w:rsidRPr="00E01CC0">
        <w:rPr>
          <w:color w:val="365F91" w:themeColor="accent1" w:themeShade="BF"/>
          <w:sz w:val="20"/>
          <w:lang w:val="en-US"/>
        </w:rPr>
        <w:t>with RON 1,2</w:t>
      </w:r>
      <w:r w:rsidR="002D59DF">
        <w:rPr>
          <w:color w:val="365F91" w:themeColor="accent1" w:themeShade="BF"/>
          <w:sz w:val="20"/>
          <w:lang w:val="en-US"/>
        </w:rPr>
        <w:t>6</w:t>
      </w:r>
      <w:r w:rsidR="00E85822">
        <w:rPr>
          <w:color w:val="365F91" w:themeColor="accent1" w:themeShade="BF"/>
          <w:sz w:val="20"/>
          <w:lang w:val="en-US"/>
        </w:rPr>
        <w:t>7</w:t>
      </w:r>
      <w:r w:rsidRPr="00E01CC0">
        <w:rPr>
          <w:color w:val="365F91" w:themeColor="accent1" w:themeShade="BF"/>
          <w:sz w:val="20"/>
          <w:lang w:val="en-US"/>
        </w:rPr>
        <w:t xml:space="preserve">.2 million, </w:t>
      </w:r>
      <w:r w:rsidR="00E85822" w:rsidRPr="00E01CC0">
        <w:rPr>
          <w:color w:val="365F91" w:themeColor="accent1" w:themeShade="BF"/>
          <w:sz w:val="20"/>
          <w:lang w:val="en-US"/>
        </w:rPr>
        <w:t xml:space="preserve">Pfizer </w:t>
      </w:r>
      <w:r w:rsidRPr="00E01CC0">
        <w:rPr>
          <w:color w:val="365F91" w:themeColor="accent1" w:themeShade="BF"/>
          <w:sz w:val="20"/>
          <w:lang w:val="en-US"/>
        </w:rPr>
        <w:t>with RON 1,</w:t>
      </w:r>
      <w:r w:rsidR="00E85822">
        <w:rPr>
          <w:color w:val="365F91" w:themeColor="accent1" w:themeShade="BF"/>
          <w:sz w:val="20"/>
          <w:lang w:val="en-US"/>
        </w:rPr>
        <w:t>1</w:t>
      </w:r>
      <w:r w:rsidR="002D59DF">
        <w:rPr>
          <w:color w:val="365F91" w:themeColor="accent1" w:themeShade="BF"/>
          <w:sz w:val="20"/>
          <w:lang w:val="en-US"/>
        </w:rPr>
        <w:t>9</w:t>
      </w:r>
      <w:r w:rsidR="00E85822">
        <w:rPr>
          <w:color w:val="365F91" w:themeColor="accent1" w:themeShade="BF"/>
          <w:sz w:val="20"/>
          <w:lang w:val="en-US"/>
        </w:rPr>
        <w:t>4</w:t>
      </w:r>
      <w:r w:rsidRPr="00E01CC0">
        <w:rPr>
          <w:color w:val="365F91" w:themeColor="accent1" w:themeShade="BF"/>
          <w:sz w:val="20"/>
          <w:lang w:val="en-US"/>
        </w:rPr>
        <w:t>.</w:t>
      </w:r>
      <w:r w:rsidR="002D59DF">
        <w:rPr>
          <w:color w:val="365F91" w:themeColor="accent1" w:themeShade="BF"/>
          <w:sz w:val="20"/>
          <w:lang w:val="en-US"/>
        </w:rPr>
        <w:t>0</w:t>
      </w:r>
      <w:r w:rsidRPr="00E01CC0">
        <w:rPr>
          <w:color w:val="365F91" w:themeColor="accent1" w:themeShade="BF"/>
          <w:sz w:val="20"/>
          <w:lang w:val="en-US"/>
        </w:rPr>
        <w:t xml:space="preserve"> million, </w:t>
      </w:r>
      <w:r w:rsidR="00E85822">
        <w:rPr>
          <w:color w:val="365F91" w:themeColor="accent1" w:themeShade="BF"/>
          <w:sz w:val="20"/>
          <w:lang w:val="en-US"/>
        </w:rPr>
        <w:t xml:space="preserve">Sanofi with </w:t>
      </w:r>
      <w:r w:rsidR="00E85822" w:rsidRPr="00E01CC0">
        <w:rPr>
          <w:color w:val="365F91" w:themeColor="accent1" w:themeShade="BF"/>
          <w:sz w:val="20"/>
          <w:lang w:val="en-US"/>
        </w:rPr>
        <w:t xml:space="preserve">RON </w:t>
      </w:r>
      <w:r w:rsidR="00E85822">
        <w:rPr>
          <w:color w:val="365F91" w:themeColor="accent1" w:themeShade="BF"/>
          <w:sz w:val="20"/>
          <w:lang w:val="en-US"/>
        </w:rPr>
        <w:t>1</w:t>
      </w:r>
      <w:r w:rsidR="00E538C3">
        <w:rPr>
          <w:color w:val="365F91" w:themeColor="accent1" w:themeShade="BF"/>
          <w:sz w:val="20"/>
          <w:lang w:val="en-US"/>
        </w:rPr>
        <w:t>,</w:t>
      </w:r>
      <w:r w:rsidR="00E85822">
        <w:rPr>
          <w:color w:val="365F91" w:themeColor="accent1" w:themeShade="BF"/>
          <w:sz w:val="20"/>
          <w:lang w:val="en-US"/>
        </w:rPr>
        <w:t>0</w:t>
      </w:r>
      <w:r w:rsidR="002D59DF">
        <w:rPr>
          <w:color w:val="365F91" w:themeColor="accent1" w:themeShade="BF"/>
          <w:sz w:val="20"/>
          <w:lang w:val="en-US"/>
        </w:rPr>
        <w:t>98</w:t>
      </w:r>
      <w:r w:rsidR="00E85822">
        <w:rPr>
          <w:color w:val="365F91" w:themeColor="accent1" w:themeShade="BF"/>
          <w:sz w:val="20"/>
          <w:lang w:val="en-US"/>
        </w:rPr>
        <w:t>.</w:t>
      </w:r>
      <w:r w:rsidR="002D59DF">
        <w:rPr>
          <w:color w:val="365F91" w:themeColor="accent1" w:themeShade="BF"/>
          <w:sz w:val="20"/>
          <w:lang w:val="en-US"/>
        </w:rPr>
        <w:t>2</w:t>
      </w:r>
      <w:r w:rsidR="00E85822" w:rsidRPr="00E01CC0">
        <w:rPr>
          <w:color w:val="365F91" w:themeColor="accent1" w:themeShade="BF"/>
          <w:sz w:val="20"/>
          <w:lang w:val="en-US"/>
        </w:rPr>
        <w:t xml:space="preserve"> million</w:t>
      </w:r>
      <w:r w:rsidR="00E85822">
        <w:rPr>
          <w:color w:val="365F91" w:themeColor="accent1" w:themeShade="BF"/>
          <w:sz w:val="20"/>
          <w:lang w:val="en-US"/>
        </w:rPr>
        <w:t>,</w:t>
      </w:r>
      <w:r w:rsidR="00E85822" w:rsidRPr="00E01CC0">
        <w:rPr>
          <w:color w:val="365F91" w:themeColor="accent1" w:themeShade="BF"/>
          <w:sz w:val="20"/>
          <w:lang w:val="en-US"/>
        </w:rPr>
        <w:t xml:space="preserve"> Hoffmann-La Roche </w:t>
      </w:r>
      <w:r w:rsidRPr="00E01CC0">
        <w:rPr>
          <w:color w:val="365F91" w:themeColor="accent1" w:themeShade="BF"/>
          <w:sz w:val="20"/>
          <w:lang w:val="en-US"/>
        </w:rPr>
        <w:t>with RON 1,</w:t>
      </w:r>
      <w:r w:rsidR="00E85822">
        <w:rPr>
          <w:color w:val="365F91" w:themeColor="accent1" w:themeShade="BF"/>
          <w:sz w:val="20"/>
          <w:lang w:val="en-US"/>
        </w:rPr>
        <w:t>0</w:t>
      </w:r>
      <w:r w:rsidR="002D59DF">
        <w:rPr>
          <w:color w:val="365F91" w:themeColor="accent1" w:themeShade="BF"/>
          <w:sz w:val="20"/>
          <w:lang w:val="en-US"/>
        </w:rPr>
        <w:t>77.9</w:t>
      </w:r>
      <w:r w:rsidRPr="00E01CC0">
        <w:rPr>
          <w:color w:val="365F91" w:themeColor="accent1" w:themeShade="BF"/>
          <w:sz w:val="20"/>
          <w:lang w:val="en-US"/>
        </w:rPr>
        <w:t xml:space="preserve"> million, </w:t>
      </w:r>
      <w:r w:rsidR="00E85822" w:rsidRPr="00E01CC0">
        <w:rPr>
          <w:color w:val="365F91" w:themeColor="accent1" w:themeShade="BF"/>
          <w:sz w:val="20"/>
          <w:lang w:val="en-US"/>
        </w:rPr>
        <w:t xml:space="preserve">Novartis </w:t>
      </w:r>
      <w:r w:rsidRPr="00E01CC0">
        <w:rPr>
          <w:color w:val="365F91" w:themeColor="accent1" w:themeShade="BF"/>
          <w:sz w:val="20"/>
          <w:lang w:val="en-US"/>
        </w:rPr>
        <w:t>with RON 1,0</w:t>
      </w:r>
      <w:r w:rsidR="002D59DF">
        <w:rPr>
          <w:color w:val="365F91" w:themeColor="accent1" w:themeShade="BF"/>
          <w:sz w:val="20"/>
          <w:lang w:val="en-US"/>
        </w:rPr>
        <w:t>74.8</w:t>
      </w:r>
      <w:r w:rsidRPr="00E01CC0">
        <w:rPr>
          <w:color w:val="365F91" w:themeColor="accent1" w:themeShade="BF"/>
          <w:sz w:val="20"/>
          <w:lang w:val="en-US"/>
        </w:rPr>
        <w:t xml:space="preserve"> million, </w:t>
      </w:r>
      <w:r w:rsidR="00E85822">
        <w:rPr>
          <w:color w:val="365F91" w:themeColor="accent1" w:themeShade="BF"/>
          <w:sz w:val="20"/>
          <w:lang w:val="en-US"/>
        </w:rPr>
        <w:t xml:space="preserve">and </w:t>
      </w:r>
      <w:r w:rsidR="00B23608">
        <w:rPr>
          <w:color w:val="365F91" w:themeColor="accent1" w:themeShade="BF"/>
          <w:sz w:val="20"/>
          <w:lang w:val="en-US"/>
        </w:rPr>
        <w:t>Merck &amp; Co</w:t>
      </w:r>
      <w:r w:rsidR="00E85822" w:rsidRPr="00E01CC0">
        <w:rPr>
          <w:color w:val="365F91" w:themeColor="accent1" w:themeShade="BF"/>
          <w:sz w:val="20"/>
          <w:lang w:val="en-US"/>
        </w:rPr>
        <w:t xml:space="preserve"> </w:t>
      </w:r>
      <w:r w:rsidRPr="00E01CC0">
        <w:rPr>
          <w:color w:val="365F91" w:themeColor="accent1" w:themeShade="BF"/>
          <w:sz w:val="20"/>
          <w:lang w:val="en-US"/>
        </w:rPr>
        <w:t xml:space="preserve">with RON </w:t>
      </w:r>
      <w:r w:rsidR="002D59DF" w:rsidRPr="002D59DF">
        <w:rPr>
          <w:color w:val="365F91" w:themeColor="accent1" w:themeShade="BF"/>
          <w:sz w:val="20"/>
          <w:lang w:val="en-US"/>
        </w:rPr>
        <w:t>1,030.5</w:t>
      </w:r>
      <w:r w:rsidR="00B23608">
        <w:rPr>
          <w:color w:val="365F91" w:themeColor="accent1" w:themeShade="BF"/>
          <w:sz w:val="20"/>
          <w:lang w:val="en-US"/>
        </w:rPr>
        <w:t xml:space="preserve"> </w:t>
      </w:r>
      <w:r w:rsidRPr="00E01CC0">
        <w:rPr>
          <w:color w:val="365F91" w:themeColor="accent1" w:themeShade="BF"/>
          <w:sz w:val="20"/>
          <w:lang w:val="en-US"/>
        </w:rPr>
        <w:t>million.</w:t>
      </w:r>
    </w:p>
    <w:p w14:paraId="02DE9ED9" w14:textId="77777777" w:rsidR="00E01CC0" w:rsidRPr="002472F0" w:rsidRDefault="00E01CC0" w:rsidP="004C0111">
      <w:pPr>
        <w:pStyle w:val="BodyText"/>
        <w:keepNext/>
        <w:tabs>
          <w:tab w:val="left" w:pos="810"/>
        </w:tabs>
        <w:rPr>
          <w:color w:val="365F91" w:themeColor="accent1" w:themeShade="BF"/>
          <w:sz w:val="20"/>
          <w:lang w:val="en-US"/>
        </w:rPr>
      </w:pPr>
    </w:p>
    <w:tbl>
      <w:tblPr>
        <w:tblStyle w:val="LightGrid-Accent11"/>
        <w:tblW w:w="7730" w:type="dxa"/>
        <w:tblLook w:val="04A0" w:firstRow="1" w:lastRow="0" w:firstColumn="1" w:lastColumn="0" w:noHBand="0" w:noVBand="1"/>
      </w:tblPr>
      <w:tblGrid>
        <w:gridCol w:w="561"/>
        <w:gridCol w:w="3167"/>
        <w:gridCol w:w="1792"/>
        <w:gridCol w:w="1310"/>
        <w:gridCol w:w="900"/>
      </w:tblGrid>
      <w:tr w:rsidR="005412F0" w:rsidRPr="001C00BF" w14:paraId="1B50741F" w14:textId="77777777" w:rsidTr="00A61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C519222" w14:textId="77777777" w:rsidR="005412F0" w:rsidRPr="00B23608" w:rsidRDefault="005412F0" w:rsidP="005412F0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  <w:t>Crt. No.</w:t>
            </w:r>
          </w:p>
        </w:tc>
        <w:tc>
          <w:tcPr>
            <w:tcW w:w="31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05FFFB7" w14:textId="77777777" w:rsidR="005412F0" w:rsidRPr="00B23608" w:rsidRDefault="005412F0" w:rsidP="005412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</w:p>
          <w:p w14:paraId="1DE1CF66" w14:textId="77777777" w:rsidR="005412F0" w:rsidRPr="00B23608" w:rsidRDefault="005412F0" w:rsidP="005412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  <w:t>Corporation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ADE2D34" w14:textId="40AA55AE" w:rsidR="005412F0" w:rsidRPr="00A616F3" w:rsidRDefault="005412F0" w:rsidP="00A6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lang w:val="en-US"/>
              </w:rPr>
            </w:pPr>
            <w:r w:rsidRPr="00A616F3"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lang w:val="en-US"/>
              </w:rPr>
              <w:t>2nd Quarter 2025</w:t>
            </w:r>
          </w:p>
        </w:tc>
        <w:tc>
          <w:tcPr>
            <w:tcW w:w="22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8792A17" w14:textId="31CA4FCA" w:rsidR="005412F0" w:rsidRPr="00A616F3" w:rsidRDefault="005412F0" w:rsidP="00A61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lang w:val="en-US"/>
              </w:rPr>
            </w:pPr>
            <w:r w:rsidRPr="00A616F3">
              <w:rPr>
                <w:rFonts w:ascii="Arial" w:eastAsia="Times New Roman" w:hAnsi="Arial" w:cs="Arial"/>
                <w:bCs w:val="0"/>
                <w:color w:val="365F91"/>
                <w:sz w:val="18"/>
                <w:szCs w:val="18"/>
                <w:lang w:val="en-US"/>
              </w:rPr>
              <w:t>MAT (2025-Q2)</w:t>
            </w:r>
          </w:p>
        </w:tc>
      </w:tr>
      <w:tr w:rsidR="00096362" w:rsidRPr="001C00BF" w14:paraId="354AA595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88392D7" w14:textId="77777777" w:rsidR="00096362" w:rsidRPr="00B23608" w:rsidRDefault="00096362" w:rsidP="00096362">
            <w:pPr>
              <w:jc w:val="center"/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</w:p>
        </w:tc>
        <w:tc>
          <w:tcPr>
            <w:tcW w:w="31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AA52A2E" w14:textId="77777777" w:rsidR="00096362" w:rsidRPr="00B23608" w:rsidRDefault="00096362" w:rsidP="0009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ro-RO"/>
              </w:rPr>
            </w:pP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D500C16" w14:textId="77777777" w:rsidR="00096362" w:rsidRPr="00B23608" w:rsidRDefault="00096362" w:rsidP="0009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  <w:t>(</w:t>
            </w:r>
            <w:r w:rsidRPr="00B23608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18"/>
                <w:szCs w:val="18"/>
                <w:lang w:val="ro-RO"/>
              </w:rPr>
              <w:t>mn RON</w:t>
            </w:r>
            <w:r w:rsidRPr="00B23608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  <w:t>)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2EC9EFA" w14:textId="77777777" w:rsidR="00096362" w:rsidRPr="00B23608" w:rsidRDefault="00096362" w:rsidP="0009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  <w:t>(</w:t>
            </w:r>
            <w:r w:rsidRPr="00B23608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18"/>
                <w:szCs w:val="18"/>
                <w:lang w:val="ro-RO"/>
              </w:rPr>
              <w:t>mn RON</w:t>
            </w:r>
            <w:r w:rsidRPr="00B23608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  <w:t>)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A9BC7BF" w14:textId="77777777" w:rsidR="00096362" w:rsidRPr="00B23608" w:rsidRDefault="00096362" w:rsidP="0009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/>
                <w:i/>
                <w:iCs/>
                <w:color w:val="365F91" w:themeColor="accent1" w:themeShade="BF"/>
                <w:sz w:val="18"/>
                <w:szCs w:val="18"/>
                <w:lang w:val="ro-RO"/>
              </w:rPr>
              <w:t>(%)</w:t>
            </w:r>
          </w:p>
        </w:tc>
      </w:tr>
      <w:tr w:rsidR="00A616F3" w:rsidRPr="001C00BF" w14:paraId="09B9521F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BBF0BA4" w14:textId="77777777" w:rsidR="00A616F3" w:rsidRPr="00B23608" w:rsidRDefault="00A616F3" w:rsidP="00A616F3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/>
                <w:sz w:val="18"/>
                <w:szCs w:val="18"/>
              </w:rPr>
              <w:t xml:space="preserve">Total </w:t>
            </w:r>
            <w:proofErr w:type="spellStart"/>
            <w:r w:rsidRPr="00B23608">
              <w:rPr>
                <w:rFonts w:ascii="Arial" w:hAnsi="Arial" w:cs="Arial"/>
                <w:b w:val="0"/>
                <w:bCs w:val="0"/>
                <w:color w:val="365F91"/>
                <w:sz w:val="18"/>
                <w:szCs w:val="18"/>
              </w:rPr>
              <w:t>market</w:t>
            </w:r>
            <w:proofErr w:type="spellEnd"/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B2E4322" w14:textId="6F57968E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9,202.1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D23DCC" w14:textId="07F45E73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36,214.6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99C222" w14:textId="3446F418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100.0%</w:t>
            </w:r>
          </w:p>
        </w:tc>
      </w:tr>
      <w:tr w:rsidR="00A616F3" w:rsidRPr="00574A86" w14:paraId="38163348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590127B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2321BA66" w14:textId="475DEEFE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ASTRAZENECA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5FF899FE" w14:textId="325ABD46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513.0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5F38954A" w14:textId="74657BAC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1,932.8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18C426EE" w14:textId="07599DB3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5.3%</w:t>
            </w:r>
          </w:p>
        </w:tc>
      </w:tr>
      <w:tr w:rsidR="00A616F3" w:rsidRPr="00574A86" w14:paraId="37E19579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6BA1B2F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2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CB1C598" w14:textId="583E41CD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SUN PHARMA</w:t>
            </w:r>
            <w:r w:rsidRPr="00B23608"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AF64B28" w14:textId="4EE9C994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410.0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5AE2FF2" w14:textId="2E48FA16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1,623.4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6723ED8" w14:textId="0FEAA2C3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4.5%</w:t>
            </w:r>
          </w:p>
        </w:tc>
      </w:tr>
      <w:tr w:rsidR="00A616F3" w:rsidRPr="00574A86" w14:paraId="575CB9C8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43014DA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3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239CDD7E" w14:textId="676F2FD6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ZENTIVA</w:t>
            </w:r>
            <w:r w:rsidRPr="00B23608"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53E9ECA2" w14:textId="139475FC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374.9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5027F617" w14:textId="408A7E01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1,518.9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2818B822" w14:textId="7E605EAF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4.2%</w:t>
            </w:r>
          </w:p>
        </w:tc>
      </w:tr>
      <w:tr w:rsidR="00A616F3" w:rsidRPr="00574A86" w14:paraId="64DF3534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B5007CC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4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847E44A" w14:textId="281CFB17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JOHNSON &amp; JOHNSON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90DDA27" w14:textId="4B81FFB3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341.9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376D9E5" w14:textId="5F400BA6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1,323.0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191E3DB" w14:textId="2D8689C9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3.7%</w:t>
            </w:r>
          </w:p>
        </w:tc>
      </w:tr>
      <w:tr w:rsidR="00A616F3" w:rsidRPr="00574A86" w14:paraId="25EC6AB8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208F444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5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</w:tcPr>
          <w:p w14:paraId="0C8FAF85" w14:textId="2F8B00D5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SERVIER</w:t>
            </w:r>
            <w:r w:rsidRPr="00B23608"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7F4D3A7C" w14:textId="57579749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321.6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50C99797" w14:textId="639F3936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1,267.2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60C94F19" w14:textId="474363C7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3.5%</w:t>
            </w:r>
          </w:p>
        </w:tc>
      </w:tr>
      <w:tr w:rsidR="00A616F3" w:rsidRPr="00574A86" w14:paraId="7982B1C5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9C6D940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6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C89663B" w14:textId="14D8ED84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PFIZER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E23DA8D" w14:textId="5B591400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307.7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0840306" w14:textId="411B8342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1,194.0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374F909" w14:textId="4DC8C12F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3.3%</w:t>
            </w:r>
          </w:p>
        </w:tc>
      </w:tr>
      <w:tr w:rsidR="00A616F3" w:rsidRPr="00574A86" w14:paraId="64CDDE46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5EADB2A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7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3DE692D4" w14:textId="02ABA7ED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SANOFI</w:t>
            </w:r>
            <w:r w:rsidRPr="00B23608"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519BAE2C" w14:textId="7E5D6121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273.6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5C75C20C" w14:textId="1F3FD5E6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1,098.2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2CA22E10" w14:textId="51679D90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3.0%</w:t>
            </w:r>
          </w:p>
        </w:tc>
      </w:tr>
      <w:tr w:rsidR="00A616F3" w:rsidRPr="00574A86" w14:paraId="0E03653D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8D501B0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8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AEAA1C" w14:textId="49EAD743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HOFFMANN LA ROCHE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DC0C098" w14:textId="113C71B5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266.5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6A991E9" w14:textId="5C6A1EF2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1,077.9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24F79E1" w14:textId="4570F946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3.0%</w:t>
            </w:r>
          </w:p>
        </w:tc>
      </w:tr>
      <w:tr w:rsidR="00A616F3" w:rsidRPr="00574A86" w14:paraId="4F5B27C8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34F86FD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9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</w:tcPr>
          <w:p w14:paraId="0CFA69BC" w14:textId="3444DA7C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NOVARTIS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7DB71242" w14:textId="0F98D6DC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283.0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73445A52" w14:textId="7F69D2DD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1,074.8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2049EECE" w14:textId="587B76CB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3.0%</w:t>
            </w:r>
          </w:p>
        </w:tc>
      </w:tr>
      <w:tr w:rsidR="00A616F3" w:rsidRPr="00574A86" w14:paraId="655F6921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712006A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10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8A6DDC5" w14:textId="743A21F0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  <w:vertAlign w:val="superscript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MERCK &amp; CO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4967A67" w14:textId="2AD35C67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281.1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BE27EDD" w14:textId="7163CC93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1,030.5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B2995A9" w14:textId="1738EB11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2.8%</w:t>
            </w:r>
          </w:p>
        </w:tc>
      </w:tr>
      <w:tr w:rsidR="00A616F3" w:rsidRPr="00574A86" w14:paraId="243E25D6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851170B" w14:textId="77777777" w:rsidR="00A616F3" w:rsidRPr="00B23608" w:rsidRDefault="00A616F3" w:rsidP="00A616F3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  <w:t>Subtotal Top 10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  <w:hideMark/>
          </w:tcPr>
          <w:p w14:paraId="79EDC4BA" w14:textId="119FB157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3,373.2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</w:tcPr>
          <w:p w14:paraId="31A11B91" w14:textId="10053F20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13,140.6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3DFEE"/>
            <w:vAlign w:val="center"/>
          </w:tcPr>
          <w:p w14:paraId="0CAB573B" w14:textId="7163A4C2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36.3%</w:t>
            </w:r>
          </w:p>
        </w:tc>
      </w:tr>
      <w:tr w:rsidR="00A616F3" w:rsidRPr="00574A86" w14:paraId="17AA4BD9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F3E4D71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11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2DEBED" w14:textId="181F47CD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NOVO NORDISK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0C0B0F3" w14:textId="7CE1BCE2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249.5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B51298D" w14:textId="67BFF3CE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958.3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3B3E6CE" w14:textId="71CFF7DD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2.6%</w:t>
            </w:r>
          </w:p>
        </w:tc>
      </w:tr>
      <w:tr w:rsidR="00A616F3" w:rsidRPr="00574A86" w14:paraId="0A385419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B2C8398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12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</w:tcPr>
          <w:p w14:paraId="75C14E29" w14:textId="3152833B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VIATRIS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13E0631F" w14:textId="727ACA3D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210.4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22476937" w14:textId="7908C68C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856.9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289C2B5D" w14:textId="67250EBE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2.4%</w:t>
            </w:r>
          </w:p>
        </w:tc>
      </w:tr>
      <w:tr w:rsidR="00A616F3" w:rsidRPr="00574A86" w14:paraId="1F41958D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DFEF73C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13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5F7C75" w14:textId="16365DC3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ELI LILLY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F366F2B" w14:textId="3F6A0929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233.6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6539637" w14:textId="0CFCB139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786.1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FB6B4C3" w14:textId="16F6DDCD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2.2%</w:t>
            </w:r>
          </w:p>
        </w:tc>
      </w:tr>
      <w:tr w:rsidR="00A616F3" w:rsidRPr="00574A86" w14:paraId="17D681C9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2130DAD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14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</w:tcPr>
          <w:p w14:paraId="20007C51" w14:textId="1A1D6235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BAYER AG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4DADFA6E" w14:textId="68588426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171.9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266D20FC" w14:textId="7A0C4E56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683.2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439720EA" w14:textId="5444AB10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1.9%</w:t>
            </w:r>
          </w:p>
        </w:tc>
      </w:tr>
      <w:tr w:rsidR="00A616F3" w:rsidRPr="00574A86" w14:paraId="328AD47D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B3DA828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15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68B97C" w14:textId="10AB727F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ABBVIE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7A0914D" w14:textId="642956BF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160.4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5F32D35" w14:textId="7634050A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666.1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D1A3C5F" w14:textId="27EF4228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1.8%</w:t>
            </w:r>
          </w:p>
        </w:tc>
      </w:tr>
      <w:tr w:rsidR="00A616F3" w:rsidRPr="00574A86" w14:paraId="54374DA1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306A04C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16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</w:tcPr>
          <w:p w14:paraId="004031C5" w14:textId="32CE2B36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MENARINI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39C201D9" w14:textId="04C8F677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168.4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62CDACE9" w14:textId="276918D5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648.7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076F4F06" w14:textId="46C9A161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1.8%</w:t>
            </w:r>
          </w:p>
        </w:tc>
      </w:tr>
      <w:tr w:rsidR="00A616F3" w:rsidRPr="00574A86" w14:paraId="46D7C6A9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8A9F905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17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C3255B" w14:textId="37719BD7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BRISTOL MYERS SQUIBB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87D0D84" w14:textId="0D011F7B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159.4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07C6BA7" w14:textId="3EEACACD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626.4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03AB251" w14:textId="27F85A6E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1.7%</w:t>
            </w:r>
          </w:p>
        </w:tc>
      </w:tr>
      <w:tr w:rsidR="00A616F3" w:rsidRPr="00574A86" w14:paraId="58141EAD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EED1730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18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489F6574" w14:textId="0E837CD8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SANDOZ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2603E4E4" w14:textId="63364833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143.8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7E70B8D2" w14:textId="31BE7F81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599.6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456F40C2" w14:textId="318D53C3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1.7%</w:t>
            </w:r>
          </w:p>
        </w:tc>
      </w:tr>
      <w:tr w:rsidR="00A616F3" w:rsidRPr="00574A86" w14:paraId="3B21900C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6E9C8A3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19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1C2DD5F" w14:textId="0C422250" w:rsidR="00A616F3" w:rsidRPr="00B23608" w:rsidRDefault="00A616F3" w:rsidP="00A6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GLAXOSMITHKLINE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BB35C47" w14:textId="2F438099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148.9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AE7F6AC" w14:textId="3898C6BC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581.8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FEEE705" w14:textId="6E8F11C4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1.6%</w:t>
            </w:r>
          </w:p>
        </w:tc>
      </w:tr>
      <w:tr w:rsidR="00A616F3" w:rsidRPr="00574A86" w14:paraId="55E1D71C" w14:textId="77777777" w:rsidTr="003D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19FDF20" w14:textId="77777777" w:rsidR="00A616F3" w:rsidRPr="00B23608" w:rsidRDefault="00A616F3" w:rsidP="00A616F3">
            <w:pPr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  <w:lang w:val="ro-RO"/>
              </w:rPr>
              <w:t>20</w:t>
            </w: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3D3F7C08" w14:textId="0C8705D9" w:rsidR="00A616F3" w:rsidRPr="00B23608" w:rsidRDefault="00A616F3" w:rsidP="00A6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B23608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RECKITT BENCKISER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47861B98" w14:textId="023888D3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124.2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7EDD6424" w14:textId="00E8D841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570.6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000000" w:fill="DDEBF7"/>
            <w:vAlign w:val="center"/>
            <w:hideMark/>
          </w:tcPr>
          <w:p w14:paraId="0E57B5B0" w14:textId="5B1AF246" w:rsidR="00A616F3" w:rsidRPr="00A616F3" w:rsidRDefault="00A616F3" w:rsidP="00A6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color w:val="365F91"/>
                <w:sz w:val="18"/>
                <w:szCs w:val="18"/>
              </w:rPr>
              <w:t>1.6%</w:t>
            </w:r>
          </w:p>
        </w:tc>
      </w:tr>
      <w:tr w:rsidR="00A616F3" w:rsidRPr="00574A86" w14:paraId="2FD8DBD8" w14:textId="77777777" w:rsidTr="003D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4063386" w14:textId="77777777" w:rsidR="00A616F3" w:rsidRPr="00B23608" w:rsidRDefault="00A616F3" w:rsidP="00A616F3">
            <w:pPr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</w:pPr>
            <w:r w:rsidRPr="00B23608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  <w:lang w:val="ro-RO"/>
              </w:rPr>
              <w:t>Subtotal Top 20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CF37A2B" w14:textId="0BC2DA7E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5,143.6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A278F8" w14:textId="616C01A1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20,118.2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07A885" w14:textId="39026067" w:rsidR="00A616F3" w:rsidRPr="00A616F3" w:rsidRDefault="00A616F3" w:rsidP="00A61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</w:pPr>
            <w:r w:rsidRPr="00A616F3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55.6%</w:t>
            </w:r>
          </w:p>
        </w:tc>
      </w:tr>
    </w:tbl>
    <w:p w14:paraId="5A0BA824" w14:textId="534BF6B7" w:rsidR="001A5697" w:rsidRDefault="001A5697" w:rsidP="001A5697">
      <w:pPr>
        <w:pStyle w:val="BodyText"/>
        <w:keepNext/>
        <w:tabs>
          <w:tab w:val="left" w:pos="810"/>
        </w:tabs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</w:pP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*values calculated a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t PPP (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P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harmacy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 xml:space="preserve"> P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urch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a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 xml:space="preserve">se </w:t>
      </w:r>
      <w:r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P</w:t>
      </w:r>
      <w:r w:rsidRPr="001A5697"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  <w:t>rice) level</w:t>
      </w:r>
    </w:p>
    <w:p w14:paraId="2D76CC08" w14:textId="77777777" w:rsidR="00300BC8" w:rsidRPr="000762D9" w:rsidRDefault="00300BC8" w:rsidP="00300BC8">
      <w:pPr>
        <w:pStyle w:val="BodyText"/>
        <w:ind w:left="288" w:right="288"/>
        <w:rPr>
          <w:rFonts w:cs="Arial"/>
          <w:i/>
          <w:noProof/>
          <w:color w:val="365F91" w:themeColor="accent1" w:themeShade="BF"/>
          <w:sz w:val="18"/>
          <w:szCs w:val="18"/>
          <w:highlight w:val="yellow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410"/>
      </w:tblGrid>
      <w:tr w:rsidR="000A1644" w:rsidRPr="000762D9" w14:paraId="4F1994EB" w14:textId="77777777" w:rsidTr="0038758A">
        <w:tc>
          <w:tcPr>
            <w:tcW w:w="4590" w:type="dxa"/>
          </w:tcPr>
          <w:p w14:paraId="417E0B39" w14:textId="465FD3CF" w:rsidR="000A1644" w:rsidRPr="000762D9" w:rsidRDefault="00C52E26" w:rsidP="00C52E26">
            <w:pPr>
              <w:spacing w:after="0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val="en-US" w:eastAsia="ro-RO"/>
              </w:rPr>
            </w:pPr>
            <w:r w:rsidRPr="00C52E26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vertAlign w:val="superscript"/>
                <w:lang w:val="en-US" w:eastAsia="ro-RO"/>
              </w:rPr>
              <w:t>1</w:t>
            </w:r>
            <w:r w:rsidR="000A1644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 </w:t>
            </w:r>
            <w:r w:rsidR="00212469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>including</w:t>
            </w:r>
            <w:r w:rsidR="000A1644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 </w:t>
            </w:r>
            <w:r w:rsidR="002527E2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>TERAPIA</w:t>
            </w:r>
            <w:r w:rsidR="002527E2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 </w:t>
            </w:r>
          </w:p>
        </w:tc>
        <w:tc>
          <w:tcPr>
            <w:tcW w:w="4410" w:type="dxa"/>
          </w:tcPr>
          <w:p w14:paraId="1B816C04" w14:textId="77777777" w:rsidR="000A1644" w:rsidRPr="000762D9" w:rsidRDefault="000A1644" w:rsidP="004D4481">
            <w:pPr>
              <w:spacing w:after="0"/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</w:pPr>
          </w:p>
        </w:tc>
      </w:tr>
      <w:tr w:rsidR="000A1644" w:rsidRPr="000762D9" w14:paraId="6882F8B0" w14:textId="77777777" w:rsidTr="0038758A">
        <w:tc>
          <w:tcPr>
            <w:tcW w:w="4590" w:type="dxa"/>
          </w:tcPr>
          <w:p w14:paraId="2372CF71" w14:textId="654D98D8" w:rsidR="000A1644" w:rsidRPr="000762D9" w:rsidRDefault="00C52E26" w:rsidP="004D4481">
            <w:pPr>
              <w:spacing w:after="0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val="en-US" w:eastAsia="ro-RO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vertAlign w:val="superscript"/>
                <w:lang w:val="en-US" w:eastAsia="ro-RO"/>
              </w:rPr>
              <w:t>2</w:t>
            </w:r>
            <w:r w:rsidR="000A1644" w:rsidRPr="000762D9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vertAlign w:val="superscript"/>
                <w:lang w:val="en-US" w:eastAsia="ro-RO"/>
              </w:rPr>
              <w:t xml:space="preserve">  </w:t>
            </w:r>
            <w:r w:rsidR="00212469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>including</w:t>
            </w:r>
            <w:proofErr w:type="gramEnd"/>
            <w:r w:rsidR="000A1644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 </w:t>
            </w:r>
            <w:r w:rsidR="002527E2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ALVOGEN and </w:t>
            </w:r>
            <w:r w:rsidR="002527E2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>LABORMED</w:t>
            </w:r>
          </w:p>
        </w:tc>
        <w:tc>
          <w:tcPr>
            <w:tcW w:w="4410" w:type="dxa"/>
          </w:tcPr>
          <w:p w14:paraId="068CF440" w14:textId="77777777" w:rsidR="000A1644" w:rsidRPr="000762D9" w:rsidRDefault="000A1644" w:rsidP="004D4481">
            <w:pPr>
              <w:spacing w:after="0"/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</w:pPr>
          </w:p>
        </w:tc>
      </w:tr>
      <w:tr w:rsidR="000A1644" w:rsidRPr="00E21FC8" w14:paraId="3715EEA0" w14:textId="77777777" w:rsidTr="0038758A">
        <w:tc>
          <w:tcPr>
            <w:tcW w:w="4590" w:type="dxa"/>
          </w:tcPr>
          <w:p w14:paraId="0E890299" w14:textId="77777777" w:rsidR="0038758A" w:rsidRDefault="00C52E26" w:rsidP="00C52E26">
            <w:pPr>
              <w:spacing w:after="0"/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</w:pPr>
            <w:r w:rsidRPr="00C52E26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vertAlign w:val="superscript"/>
                <w:lang w:val="en-US" w:eastAsia="ro-RO"/>
              </w:rPr>
              <w:t>3</w:t>
            </w:r>
            <w:r w:rsidR="000A1644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 </w:t>
            </w:r>
            <w:r w:rsidR="00212469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>including</w:t>
            </w:r>
            <w:r w:rsidR="000A1644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 </w:t>
            </w:r>
            <w:r w:rsidR="00E30236" w:rsidRPr="000762D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>EGIS</w:t>
            </w:r>
          </w:p>
          <w:p w14:paraId="183C5260" w14:textId="4A1A7B49" w:rsidR="00F95A7C" w:rsidRPr="00174B9B" w:rsidRDefault="0038758A" w:rsidP="00C52E26">
            <w:pPr>
              <w:spacing w:after="0"/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</w:pPr>
            <w:r w:rsidRPr="0038758A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vertAlign w:val="superscript"/>
                <w:lang w:val="en-US" w:eastAsia="ro-RO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  <w:t xml:space="preserve"> without OPELA HEALTHCARE products allocated to CD&amp;R</w:t>
            </w:r>
          </w:p>
        </w:tc>
        <w:tc>
          <w:tcPr>
            <w:tcW w:w="4410" w:type="dxa"/>
          </w:tcPr>
          <w:p w14:paraId="5D30E033" w14:textId="77777777" w:rsidR="000A1644" w:rsidRPr="000762D9" w:rsidRDefault="000A1644" w:rsidP="004D4481">
            <w:pPr>
              <w:spacing w:after="0"/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16"/>
                <w:szCs w:val="16"/>
                <w:lang w:val="en-US" w:eastAsia="ro-RO"/>
              </w:rPr>
            </w:pPr>
          </w:p>
        </w:tc>
      </w:tr>
    </w:tbl>
    <w:p w14:paraId="6E85EE86" w14:textId="77777777" w:rsidR="000D5362" w:rsidRPr="000762D9" w:rsidRDefault="000D5362" w:rsidP="00C45B50">
      <w:pPr>
        <w:pStyle w:val="BodyText"/>
        <w:ind w:left="288" w:right="288"/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</w:pPr>
    </w:p>
    <w:bookmarkEnd w:id="0"/>
    <w:p w14:paraId="231C7FA5" w14:textId="1AB9EE2B" w:rsidR="008515E3" w:rsidRDefault="00140272" w:rsidP="00C45B50">
      <w:pPr>
        <w:pStyle w:val="BodyText"/>
        <w:ind w:left="288" w:right="288"/>
        <w:rPr>
          <w:rStyle w:val="Emphasis"/>
          <w:color w:val="365F91" w:themeColor="accent1" w:themeShade="BF"/>
          <w:sz w:val="18"/>
          <w:szCs w:val="18"/>
          <w:lang w:val="en-US"/>
        </w:rPr>
      </w:pPr>
      <w:r w:rsidRPr="000762D9">
        <w:rPr>
          <w:i/>
          <w:color w:val="365F91" w:themeColor="accent1" w:themeShade="BF"/>
          <w:sz w:val="18"/>
          <w:szCs w:val="18"/>
          <w:lang w:val="en-US"/>
        </w:rPr>
        <w:t xml:space="preserve">NB: </w:t>
      </w:r>
      <w:r w:rsidR="008515E3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This data </w:t>
      </w:r>
      <w:r w:rsidR="008621E5">
        <w:rPr>
          <w:rStyle w:val="Emphasis"/>
          <w:color w:val="365F91" w:themeColor="accent1" w:themeShade="BF"/>
          <w:sz w:val="18"/>
          <w:szCs w:val="18"/>
          <w:lang w:val="en-US"/>
        </w:rPr>
        <w:t>estimates</w:t>
      </w:r>
      <w:r w:rsidR="002B4169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pharmaceutical</w:t>
      </w:r>
      <w:r w:rsidRPr="000762D9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produ</w:t>
      </w:r>
      <w:r w:rsidR="006360FC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cts </w:t>
      </w:r>
      <w:r w:rsidR="002B4169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dispensed </w:t>
      </w:r>
      <w:r w:rsidR="008515E3">
        <w:rPr>
          <w:rStyle w:val="Emphasis"/>
          <w:color w:val="365F91" w:themeColor="accent1" w:themeShade="BF"/>
          <w:sz w:val="18"/>
          <w:szCs w:val="18"/>
          <w:lang w:val="en-US"/>
        </w:rPr>
        <w:t>from pharmacies to patients,</w:t>
      </w:r>
      <w:r w:rsidR="006360FC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</w:t>
      </w:r>
      <w:r w:rsidR="008515E3" w:rsidRPr="000762D9">
        <w:rPr>
          <w:rStyle w:val="Emphasis"/>
          <w:color w:val="365F91" w:themeColor="accent1" w:themeShade="BF"/>
          <w:sz w:val="18"/>
          <w:szCs w:val="18"/>
          <w:lang w:val="en-US"/>
        </w:rPr>
        <w:t>the estimation of the above values</w:t>
      </w:r>
      <w:r w:rsidR="00600138">
        <w:rPr>
          <w:rStyle w:val="Emphasis"/>
          <w:color w:val="365F91" w:themeColor="accent1" w:themeShade="BF"/>
          <w:sz w:val="18"/>
          <w:szCs w:val="18"/>
          <w:lang w:val="en-US"/>
        </w:rPr>
        <w:t>,</w:t>
      </w:r>
      <w:r w:rsidR="008515E3" w:rsidRPr="000762D9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and market shares </w:t>
      </w:r>
      <w:r w:rsidR="008515E3">
        <w:rPr>
          <w:rStyle w:val="Emphasis"/>
          <w:color w:val="365F91" w:themeColor="accent1" w:themeShade="BF"/>
          <w:sz w:val="18"/>
          <w:szCs w:val="18"/>
          <w:lang w:val="en-US"/>
        </w:rPr>
        <w:t>being</w:t>
      </w:r>
      <w:r w:rsidR="008515E3" w:rsidRPr="000762D9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</w:t>
      </w:r>
      <w:r w:rsidR="008515E3">
        <w:rPr>
          <w:rStyle w:val="Emphasis"/>
          <w:color w:val="365F91" w:themeColor="accent1" w:themeShade="BF"/>
          <w:sz w:val="18"/>
          <w:szCs w:val="18"/>
          <w:lang w:val="en-US"/>
        </w:rPr>
        <w:t>made</w:t>
      </w:r>
      <w:r w:rsidR="008515E3" w:rsidRPr="000762D9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</w:t>
      </w:r>
      <w:r w:rsidR="008515E3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in </w:t>
      </w:r>
      <w:r w:rsidR="008515E3" w:rsidRPr="000762D9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pharmacy </w:t>
      </w:r>
      <w:r w:rsidR="008515E3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purchase prices. </w:t>
      </w:r>
      <w:r w:rsidR="008515E3" w:rsidRPr="008515E3">
        <w:rPr>
          <w:rStyle w:val="Emphasis"/>
          <w:color w:val="365F91" w:themeColor="accent1" w:themeShade="BF"/>
          <w:sz w:val="18"/>
          <w:szCs w:val="18"/>
          <w:lang w:val="en-US"/>
        </w:rPr>
        <w:t>These data do not constitute information about th</w:t>
      </w:r>
      <w:r w:rsidR="009B0775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e turnover and profit </w:t>
      </w:r>
      <w:r w:rsidR="009B0775" w:rsidRPr="00D03285">
        <w:rPr>
          <w:rStyle w:val="Emphasis"/>
          <w:color w:val="365F91" w:themeColor="accent1" w:themeShade="BF"/>
          <w:sz w:val="18"/>
          <w:szCs w:val="18"/>
          <w:lang w:val="en-US"/>
        </w:rPr>
        <w:t>margins</w:t>
      </w:r>
      <w:r w:rsidR="008515E3" w:rsidRPr="008515E3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of drug manufacturers present in Romania, nor can they be extrapolated to this, due to the specific internal market </w:t>
      </w:r>
      <w:r w:rsidR="00600138">
        <w:rPr>
          <w:rStyle w:val="Emphasis"/>
          <w:color w:val="365F91" w:themeColor="accent1" w:themeShade="BF"/>
          <w:sz w:val="18"/>
          <w:szCs w:val="18"/>
          <w:lang w:val="en-US"/>
        </w:rPr>
        <w:t>regulatory</w:t>
      </w:r>
      <w:r w:rsidR="008515E3" w:rsidRPr="008515E3">
        <w:rPr>
          <w:rStyle w:val="Emphasis"/>
          <w:color w:val="365F91" w:themeColor="accent1" w:themeShade="BF"/>
          <w:sz w:val="18"/>
          <w:szCs w:val="18"/>
          <w:lang w:val="en-US"/>
        </w:rPr>
        <w:t xml:space="preserve"> framework.</w:t>
      </w:r>
    </w:p>
    <w:p w14:paraId="1759A540" w14:textId="77777777" w:rsidR="005623AF" w:rsidRDefault="005623AF" w:rsidP="00C45B50">
      <w:pPr>
        <w:pStyle w:val="BodyText"/>
        <w:ind w:left="288" w:right="288"/>
        <w:rPr>
          <w:rStyle w:val="Emphasis"/>
          <w:color w:val="365F91" w:themeColor="accent1" w:themeShade="BF"/>
          <w:sz w:val="18"/>
          <w:szCs w:val="18"/>
          <w:lang w:val="en-US"/>
        </w:rPr>
      </w:pPr>
    </w:p>
    <w:p w14:paraId="65254697" w14:textId="77777777" w:rsidR="00577BE9" w:rsidRDefault="00577BE9" w:rsidP="00C45B50">
      <w:pPr>
        <w:pStyle w:val="BodyText"/>
        <w:ind w:left="288" w:right="288"/>
        <w:rPr>
          <w:rStyle w:val="Emphasis"/>
          <w:color w:val="365F91" w:themeColor="accent1" w:themeShade="BF"/>
          <w:sz w:val="18"/>
          <w:szCs w:val="18"/>
          <w:lang w:val="en-US"/>
        </w:rPr>
      </w:pPr>
    </w:p>
    <w:p w14:paraId="6211ED7D" w14:textId="77777777" w:rsidR="006727E5" w:rsidRDefault="006727E5" w:rsidP="00C45B50">
      <w:pPr>
        <w:pStyle w:val="BodyText"/>
        <w:ind w:left="288" w:right="288"/>
        <w:rPr>
          <w:rStyle w:val="Emphasis"/>
          <w:color w:val="365F91" w:themeColor="accent1" w:themeShade="BF"/>
          <w:sz w:val="18"/>
          <w:szCs w:val="18"/>
          <w:lang w:val="en-US"/>
        </w:rPr>
      </w:pPr>
    </w:p>
    <w:p w14:paraId="371823A3" w14:textId="77777777" w:rsidR="006727E5" w:rsidRDefault="006727E5" w:rsidP="00C45B50">
      <w:pPr>
        <w:pStyle w:val="BodyText"/>
        <w:ind w:left="288" w:right="288"/>
        <w:rPr>
          <w:rStyle w:val="Emphasis"/>
          <w:color w:val="365F91" w:themeColor="accent1" w:themeShade="BF"/>
          <w:sz w:val="18"/>
          <w:szCs w:val="18"/>
          <w:lang w:val="en-US"/>
        </w:rPr>
      </w:pPr>
    </w:p>
    <w:p w14:paraId="341BE40E" w14:textId="77777777" w:rsidR="00C45B50" w:rsidRPr="000762D9" w:rsidRDefault="00C45B50" w:rsidP="00C45B50">
      <w:pPr>
        <w:pStyle w:val="BodyText"/>
        <w:ind w:left="288" w:right="288"/>
        <w:rPr>
          <w:rFonts w:cs="Arial"/>
          <w:i/>
          <w:noProof/>
          <w:color w:val="365F91" w:themeColor="accent1" w:themeShade="BF"/>
          <w:sz w:val="18"/>
          <w:szCs w:val="18"/>
          <w:lang w:val="en-US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32"/>
        <w:gridCol w:w="1956"/>
        <w:gridCol w:w="665"/>
        <w:gridCol w:w="718"/>
        <w:gridCol w:w="1948"/>
      </w:tblGrid>
      <w:tr w:rsidR="00526106" w:rsidRPr="00E21FC8" w14:paraId="4E4D6B83" w14:textId="77777777" w:rsidTr="00235773">
        <w:tc>
          <w:tcPr>
            <w:tcW w:w="1526" w:type="dxa"/>
          </w:tcPr>
          <w:p w14:paraId="2D08BDA3" w14:textId="77777777" w:rsidR="00B07EE8" w:rsidRPr="000762D9" w:rsidRDefault="000D5362" w:rsidP="00C206B7">
            <w:pPr>
              <w:rPr>
                <w:rFonts w:ascii="Helvetica" w:hAnsi="Helvetica" w:cs="Helvetica"/>
                <w:i/>
                <w:color w:val="000000" w:themeColor="text1"/>
                <w:sz w:val="16"/>
                <w:szCs w:val="16"/>
                <w:lang w:val="en-US"/>
              </w:rPr>
            </w:pPr>
            <w:r w:rsidRPr="000762D9">
              <w:rPr>
                <w:lang w:val="en-US"/>
              </w:rPr>
              <w:br w:type="page"/>
            </w:r>
            <w:r w:rsidR="00140272" w:rsidRPr="00C206B7">
              <w:rPr>
                <w:rFonts w:ascii="Helvetica" w:hAnsi="Helvetica"/>
                <w:i/>
                <w:color w:val="0070C0"/>
                <w:sz w:val="16"/>
                <w:szCs w:val="16"/>
                <w:lang w:val="en-US"/>
              </w:rPr>
              <w:t xml:space="preserve">About </w:t>
            </w:r>
            <w:proofErr w:type="spellStart"/>
            <w:r w:rsidR="00140272" w:rsidRPr="00C206B7">
              <w:rPr>
                <w:rFonts w:ascii="Helvetica" w:hAnsi="Helvetica"/>
                <w:i/>
                <w:color w:val="0070C0"/>
                <w:sz w:val="16"/>
                <w:szCs w:val="16"/>
                <w:lang w:val="en-US"/>
              </w:rPr>
              <w:t>Cegedim</w:t>
            </w:r>
            <w:proofErr w:type="spellEnd"/>
            <w:r w:rsidR="00140272" w:rsidRPr="00C206B7">
              <w:rPr>
                <w:rFonts w:ascii="Helvetica" w:hAnsi="Helvetica"/>
                <w:i/>
                <w:color w:val="0070C0"/>
                <w:sz w:val="16"/>
                <w:szCs w:val="16"/>
                <w:lang w:val="en-US"/>
              </w:rPr>
              <w:t xml:space="preserve"> Customer Information:</w:t>
            </w:r>
          </w:p>
        </w:tc>
        <w:tc>
          <w:tcPr>
            <w:tcW w:w="7919" w:type="dxa"/>
            <w:gridSpan w:val="5"/>
          </w:tcPr>
          <w:p w14:paraId="19C96B81" w14:textId="01C4C219" w:rsidR="00B07EE8" w:rsidRDefault="00F71121" w:rsidP="00D962F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F71121">
              <w:rPr>
                <w:sz w:val="16"/>
                <w:szCs w:val="16"/>
                <w:lang w:val="en-US"/>
              </w:rPr>
              <w:t xml:space="preserve">For over 25 years, </w:t>
            </w:r>
            <w:proofErr w:type="spellStart"/>
            <w:r w:rsidRPr="00F71121">
              <w:rPr>
                <w:sz w:val="16"/>
                <w:szCs w:val="16"/>
                <w:lang w:val="en-US"/>
              </w:rPr>
              <w:t>Cegedim</w:t>
            </w:r>
            <w:proofErr w:type="spellEnd"/>
            <w:r w:rsidRPr="00F71121">
              <w:rPr>
                <w:sz w:val="16"/>
                <w:szCs w:val="16"/>
                <w:lang w:val="en-US"/>
              </w:rPr>
              <w:t xml:space="preserve"> Customer Information (CCI) has supported companies in the pharmaceutical industry through an increasingly diverse portfolio of solutions and services for market research and marketing and sales teams</w:t>
            </w:r>
            <w:r>
              <w:rPr>
                <w:sz w:val="16"/>
                <w:szCs w:val="16"/>
                <w:lang w:val="en-US"/>
              </w:rPr>
              <w:t xml:space="preserve">’ </w:t>
            </w:r>
            <w:r w:rsidRPr="00F71121">
              <w:rPr>
                <w:sz w:val="16"/>
                <w:szCs w:val="16"/>
                <w:lang w:val="en-US"/>
              </w:rPr>
              <w:t>management.</w:t>
            </w:r>
            <w:r>
              <w:rPr>
                <w:sz w:val="16"/>
                <w:szCs w:val="16"/>
                <w:lang w:val="en-US"/>
              </w:rPr>
              <w:t xml:space="preserve"> Having</w:t>
            </w:r>
            <w:r w:rsidRPr="00F71121">
              <w:rPr>
                <w:sz w:val="16"/>
                <w:szCs w:val="16"/>
                <w:lang w:val="en-US"/>
              </w:rPr>
              <w:t xml:space="preserve"> currently more than 90 customers, CCI stands out for the flexibility with which it can respond to each </w:t>
            </w:r>
            <w:r w:rsidR="00600138">
              <w:rPr>
                <w:sz w:val="16"/>
                <w:szCs w:val="16"/>
                <w:lang w:val="en-US"/>
              </w:rPr>
              <w:t>user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E87323">
              <w:rPr>
                <w:sz w:val="16"/>
                <w:szCs w:val="16"/>
                <w:lang w:val="en-US"/>
              </w:rPr>
              <w:t>segment's</w:t>
            </w:r>
            <w:r w:rsidRPr="00F71121">
              <w:rPr>
                <w:sz w:val="16"/>
                <w:szCs w:val="16"/>
                <w:lang w:val="en-US"/>
              </w:rPr>
              <w:t xml:space="preserve"> diverse and specific needs. The company has 30 employees, including a local team of statisticians, </w:t>
            </w:r>
            <w:r>
              <w:rPr>
                <w:sz w:val="16"/>
                <w:szCs w:val="16"/>
                <w:lang w:val="en-US"/>
              </w:rPr>
              <w:t xml:space="preserve">software </w:t>
            </w:r>
            <w:r w:rsidRPr="00F71121">
              <w:rPr>
                <w:sz w:val="16"/>
                <w:szCs w:val="16"/>
                <w:lang w:val="en-US"/>
              </w:rPr>
              <w:t>developers</w:t>
            </w:r>
            <w:r w:rsidR="00600138">
              <w:rPr>
                <w:sz w:val="16"/>
                <w:szCs w:val="16"/>
                <w:lang w:val="en-US"/>
              </w:rPr>
              <w:t>,</w:t>
            </w:r>
            <w:r w:rsidRPr="00F71121">
              <w:rPr>
                <w:sz w:val="16"/>
                <w:szCs w:val="16"/>
                <w:lang w:val="en-US"/>
              </w:rPr>
              <w:t xml:space="preserve"> and specialists in database processing, as well as a</w:t>
            </w:r>
            <w:r>
              <w:rPr>
                <w:sz w:val="16"/>
                <w:szCs w:val="16"/>
                <w:lang w:val="en-US"/>
              </w:rPr>
              <w:t>n</w:t>
            </w:r>
            <w:r w:rsidRPr="00F71121">
              <w:rPr>
                <w:sz w:val="16"/>
                <w:szCs w:val="16"/>
                <w:lang w:val="en-US"/>
              </w:rPr>
              <w:t xml:space="preserve"> experienced customer support</w:t>
            </w:r>
            <w:r>
              <w:rPr>
                <w:sz w:val="16"/>
                <w:szCs w:val="16"/>
                <w:lang w:val="en-US"/>
              </w:rPr>
              <w:t xml:space="preserve"> team</w:t>
            </w:r>
            <w:r w:rsidRPr="00F71121">
              <w:rPr>
                <w:sz w:val="16"/>
                <w:szCs w:val="16"/>
                <w:lang w:val="en-US"/>
              </w:rPr>
              <w:t>.</w:t>
            </w:r>
          </w:p>
          <w:p w14:paraId="435FD3CE" w14:textId="7456DCAC" w:rsidR="000B45C0" w:rsidRPr="000762D9" w:rsidRDefault="000B45C0" w:rsidP="00D962F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0B45C0">
              <w:rPr>
                <w:sz w:val="16"/>
                <w:szCs w:val="16"/>
                <w:lang w:val="en-US"/>
              </w:rPr>
              <w:t xml:space="preserve">We invite you to follow the </w:t>
            </w:r>
            <w:proofErr w:type="spellStart"/>
            <w:r w:rsidRPr="000B45C0">
              <w:rPr>
                <w:sz w:val="16"/>
                <w:szCs w:val="16"/>
                <w:lang w:val="en-US"/>
              </w:rPr>
              <w:t>Cegedim</w:t>
            </w:r>
            <w:proofErr w:type="spellEnd"/>
            <w:r w:rsidRPr="000B45C0">
              <w:rPr>
                <w:sz w:val="16"/>
                <w:szCs w:val="16"/>
                <w:lang w:val="en-US"/>
              </w:rPr>
              <w:t xml:space="preserve"> Romania page on LinkedIn and to access the materials we publish on our medical-pharmaceutical news portal, </w:t>
            </w:r>
            <w:hyperlink r:id="rId11" w:history="1">
              <w:r w:rsidRPr="00A3520D">
                <w:rPr>
                  <w:rStyle w:val="Hyperlink"/>
                  <w:sz w:val="16"/>
                  <w:szCs w:val="16"/>
                  <w:lang w:val="en-US"/>
                </w:rPr>
                <w:t>www.cegedim-healthcare.ro/stiri-din-sanatate</w:t>
              </w:r>
            </w:hyperlink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26106" w:rsidRPr="00E21FC8" w14:paraId="4A62F23D" w14:textId="77777777" w:rsidTr="00235773">
        <w:tc>
          <w:tcPr>
            <w:tcW w:w="1526" w:type="dxa"/>
          </w:tcPr>
          <w:p w14:paraId="0B226D17" w14:textId="77777777" w:rsidR="00B07EE8" w:rsidRPr="000762D9" w:rsidRDefault="00B07EE8" w:rsidP="00BE4208">
            <w:pPr>
              <w:jc w:val="both"/>
              <w:rPr>
                <w:rFonts w:ascii="Helvetica" w:hAnsi="Helvetica" w:cs="Helvetica"/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71" w:type="dxa"/>
            <w:gridSpan w:val="4"/>
          </w:tcPr>
          <w:p w14:paraId="42BFBF6E" w14:textId="77777777" w:rsidR="00B07EE8" w:rsidRPr="000762D9" w:rsidRDefault="00B07EE8" w:rsidP="00BE4208">
            <w:pPr>
              <w:pStyle w:val="Default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48" w:type="dxa"/>
          </w:tcPr>
          <w:p w14:paraId="511FC204" w14:textId="77777777" w:rsidR="00B07EE8" w:rsidRPr="000762D9" w:rsidRDefault="00B07EE8" w:rsidP="00BE4208">
            <w:pPr>
              <w:pStyle w:val="Default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40272" w:rsidRPr="00E21FC8" w14:paraId="34E8BC48" w14:textId="77777777" w:rsidTr="00EF7300">
        <w:trPr>
          <w:trHeight w:val="1377"/>
        </w:trPr>
        <w:tc>
          <w:tcPr>
            <w:tcW w:w="1526" w:type="dxa"/>
          </w:tcPr>
          <w:p w14:paraId="50F3DF62" w14:textId="77777777" w:rsidR="00140272" w:rsidRPr="000762D9" w:rsidRDefault="00140272" w:rsidP="00140272">
            <w:pPr>
              <w:jc w:val="both"/>
              <w:rPr>
                <w:rFonts w:ascii="Helvetica" w:hAnsi="Helvetica" w:cs="Helvetica"/>
                <w:i/>
                <w:color w:val="000000" w:themeColor="text1"/>
                <w:sz w:val="16"/>
                <w:szCs w:val="16"/>
                <w:lang w:val="en-US"/>
              </w:rPr>
            </w:pPr>
            <w:r w:rsidRPr="00C206B7">
              <w:rPr>
                <w:rFonts w:ascii="Helvetica" w:hAnsi="Helvetica"/>
                <w:i/>
                <w:color w:val="0070C0"/>
                <w:sz w:val="16"/>
                <w:szCs w:val="16"/>
                <w:lang w:val="en-US"/>
              </w:rPr>
              <w:t>About</w:t>
            </w:r>
            <w:r w:rsidRPr="00C206B7">
              <w:rPr>
                <w:rFonts w:ascii="Helvetica" w:hAnsi="Helvetica" w:cs="Helvetica"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06B7">
              <w:rPr>
                <w:rFonts w:ascii="Helvetica" w:hAnsi="Helvetica" w:cs="Helvetica"/>
                <w:i/>
                <w:color w:val="0070C0"/>
                <w:sz w:val="16"/>
                <w:szCs w:val="16"/>
                <w:lang w:val="en-US"/>
              </w:rPr>
              <w:t>Cegedim</w:t>
            </w:r>
            <w:proofErr w:type="spellEnd"/>
            <w:r w:rsidRPr="00C206B7">
              <w:rPr>
                <w:rFonts w:ascii="Helvetica" w:hAnsi="Helvetica" w:cs="Helvetica"/>
                <w:i/>
                <w:color w:val="0070C0"/>
                <w:sz w:val="16"/>
                <w:szCs w:val="16"/>
                <w:lang w:val="en-US"/>
              </w:rPr>
              <w:t>:</w:t>
            </w:r>
          </w:p>
        </w:tc>
        <w:tc>
          <w:tcPr>
            <w:tcW w:w="7919" w:type="dxa"/>
            <w:gridSpan w:val="5"/>
          </w:tcPr>
          <w:p w14:paraId="36CD888C" w14:textId="7C110F19" w:rsidR="00140272" w:rsidRPr="000762D9" w:rsidRDefault="00544446" w:rsidP="00140272">
            <w:pPr>
              <w:pStyle w:val="Default"/>
              <w:jc w:val="both"/>
              <w:rPr>
                <w:color w:val="auto"/>
                <w:sz w:val="16"/>
                <w:szCs w:val="16"/>
                <w:lang w:val="en-US"/>
              </w:rPr>
            </w:pPr>
            <w:r w:rsidRPr="00544446">
              <w:rPr>
                <w:color w:val="auto"/>
                <w:sz w:val="16"/>
                <w:szCs w:val="16"/>
                <w:lang w:val="en-US"/>
              </w:rPr>
              <w:t xml:space="preserve">Founded in 1969, </w:t>
            </w:r>
            <w:proofErr w:type="spellStart"/>
            <w:r w:rsidRPr="00544446">
              <w:rPr>
                <w:color w:val="auto"/>
                <w:sz w:val="16"/>
                <w:szCs w:val="16"/>
                <w:lang w:val="en-US"/>
              </w:rPr>
              <w:t>Cegedim</w:t>
            </w:r>
            <w:proofErr w:type="spellEnd"/>
            <w:r w:rsidRPr="00544446">
              <w:rPr>
                <w:color w:val="auto"/>
                <w:sz w:val="16"/>
                <w:szCs w:val="16"/>
                <w:lang w:val="en-US"/>
              </w:rPr>
              <w:t xml:space="preserve"> is an innovative technology and services company in the field of digital data flow management for healthcare ecosystems and B2B and a business software publisher for healthcare and insurance professionals.</w:t>
            </w:r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40272" w:rsidRPr="000762D9">
              <w:rPr>
                <w:color w:val="auto"/>
                <w:sz w:val="16"/>
                <w:szCs w:val="16"/>
                <w:lang w:val="en-US"/>
              </w:rPr>
              <w:t>Cegedim</w:t>
            </w:r>
            <w:proofErr w:type="spellEnd"/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 group employs over </w:t>
            </w:r>
            <w:r w:rsidR="000267A2">
              <w:rPr>
                <w:color w:val="auto"/>
                <w:sz w:val="16"/>
                <w:szCs w:val="16"/>
                <w:lang w:val="en-US"/>
              </w:rPr>
              <w:t>6,</w:t>
            </w:r>
            <w:r w:rsidR="00FF746E">
              <w:rPr>
                <w:color w:val="auto"/>
                <w:sz w:val="16"/>
                <w:szCs w:val="16"/>
                <w:lang w:val="en-US"/>
              </w:rPr>
              <w:t>7</w:t>
            </w:r>
            <w:r w:rsidR="000267A2">
              <w:rPr>
                <w:color w:val="auto"/>
                <w:sz w:val="16"/>
                <w:szCs w:val="16"/>
                <w:lang w:val="en-US"/>
              </w:rPr>
              <w:t>00</w:t>
            </w:r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 people in 10 countries </w:t>
            </w:r>
            <w:r w:rsidR="00B41607">
              <w:rPr>
                <w:color w:val="auto"/>
                <w:sz w:val="16"/>
                <w:szCs w:val="16"/>
                <w:lang w:val="en-US"/>
              </w:rPr>
              <w:t>an</w:t>
            </w:r>
            <w:r w:rsidR="00424407">
              <w:rPr>
                <w:color w:val="auto"/>
                <w:sz w:val="16"/>
                <w:szCs w:val="16"/>
                <w:lang w:val="en-US"/>
              </w:rPr>
              <w:t xml:space="preserve">d generated revenue of EUR </w:t>
            </w:r>
            <w:r w:rsidR="00BA3167">
              <w:rPr>
                <w:color w:val="auto"/>
                <w:sz w:val="16"/>
                <w:szCs w:val="16"/>
                <w:lang w:val="en-US"/>
              </w:rPr>
              <w:t>6</w:t>
            </w:r>
            <w:r w:rsidR="00FF746E">
              <w:rPr>
                <w:color w:val="auto"/>
                <w:sz w:val="16"/>
                <w:szCs w:val="16"/>
                <w:lang w:val="en-US"/>
              </w:rPr>
              <w:t>54.5</w:t>
            </w:r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40272" w:rsidRPr="000762D9">
              <w:rPr>
                <w:color w:val="auto"/>
                <w:sz w:val="16"/>
                <w:szCs w:val="16"/>
                <w:lang w:val="en-US"/>
              </w:rPr>
              <w:t>mn</w:t>
            </w:r>
            <w:proofErr w:type="spellEnd"/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 in 20</w:t>
            </w:r>
            <w:r w:rsidR="00392373">
              <w:rPr>
                <w:color w:val="auto"/>
                <w:sz w:val="16"/>
                <w:szCs w:val="16"/>
                <w:lang w:val="en-US"/>
              </w:rPr>
              <w:t>2</w:t>
            </w:r>
            <w:r w:rsidR="00FF746E">
              <w:rPr>
                <w:color w:val="auto"/>
                <w:sz w:val="16"/>
                <w:szCs w:val="16"/>
                <w:lang w:val="en-US"/>
              </w:rPr>
              <w:t>4</w:t>
            </w:r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40272" w:rsidRPr="000762D9">
              <w:rPr>
                <w:color w:val="auto"/>
                <w:sz w:val="16"/>
                <w:szCs w:val="16"/>
                <w:lang w:val="en-US"/>
              </w:rPr>
              <w:t>Cegedim</w:t>
            </w:r>
            <w:proofErr w:type="spellEnd"/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 SA is listed </w:t>
            </w:r>
            <w:r w:rsidR="00E87323">
              <w:rPr>
                <w:color w:val="auto"/>
                <w:sz w:val="16"/>
                <w:szCs w:val="16"/>
                <w:lang w:val="en-US"/>
              </w:rPr>
              <w:t>on</w:t>
            </w:r>
            <w:r w:rsidR="00140272" w:rsidRPr="000762D9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r w:rsidR="00E87323">
              <w:rPr>
                <w:color w:val="auto"/>
                <w:sz w:val="16"/>
                <w:szCs w:val="16"/>
                <w:lang w:val="en-US"/>
              </w:rPr>
              <w:t xml:space="preserve">the </w:t>
            </w:r>
            <w:r w:rsidR="00140272" w:rsidRPr="000762D9">
              <w:rPr>
                <w:color w:val="auto"/>
                <w:sz w:val="16"/>
                <w:szCs w:val="16"/>
                <w:lang w:val="en-US"/>
              </w:rPr>
              <w:t>Paris Stock Exchange (EURONEXT: CGM).</w:t>
            </w:r>
          </w:p>
          <w:p w14:paraId="05FC2374" w14:textId="77777777" w:rsidR="00140272" w:rsidRPr="000762D9" w:rsidRDefault="00140272" w:rsidP="00140272">
            <w:pPr>
              <w:pStyle w:val="Default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0762D9">
              <w:rPr>
                <w:color w:val="000000" w:themeColor="text1"/>
                <w:sz w:val="16"/>
                <w:szCs w:val="16"/>
                <w:lang w:val="en-US"/>
              </w:rPr>
              <w:t xml:space="preserve">To learn more, please visit </w:t>
            </w:r>
            <w:hyperlink r:id="rId12" w:history="1">
              <w:r w:rsidRPr="000762D9">
                <w:rPr>
                  <w:rStyle w:val="Hyperlink"/>
                  <w:sz w:val="16"/>
                  <w:szCs w:val="16"/>
                  <w:lang w:val="en-US"/>
                </w:rPr>
                <w:t>www.cegedim.com</w:t>
              </w:r>
            </w:hyperlink>
            <w:r w:rsidRPr="000762D9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</w:tr>
      <w:tr w:rsidR="00140272" w:rsidRPr="00E21FC8" w14:paraId="633CA1DF" w14:textId="77777777" w:rsidTr="00235773">
        <w:tc>
          <w:tcPr>
            <w:tcW w:w="1526" w:type="dxa"/>
          </w:tcPr>
          <w:p w14:paraId="5F8BF743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2632" w:type="dxa"/>
          </w:tcPr>
          <w:p w14:paraId="1799AEC4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1956" w:type="dxa"/>
          </w:tcPr>
          <w:p w14:paraId="7DD25E7B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665" w:type="dxa"/>
          </w:tcPr>
          <w:p w14:paraId="0A7F8741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2666" w:type="dxa"/>
            <w:gridSpan w:val="2"/>
          </w:tcPr>
          <w:p w14:paraId="597471BF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</w:tr>
      <w:tr w:rsidR="00140272" w:rsidRPr="000762D9" w14:paraId="035E9029" w14:textId="77777777" w:rsidTr="00C206B7">
        <w:tc>
          <w:tcPr>
            <w:tcW w:w="1526" w:type="dxa"/>
          </w:tcPr>
          <w:p w14:paraId="281AE106" w14:textId="77777777" w:rsidR="00140272" w:rsidRPr="000762D9" w:rsidRDefault="00140272" w:rsidP="00140272">
            <w:pPr>
              <w:jc w:val="both"/>
              <w:rPr>
                <w:i/>
                <w:color w:val="365F91" w:themeColor="accent1" w:themeShade="BF"/>
                <w:sz w:val="16"/>
                <w:szCs w:val="16"/>
                <w:lang w:val="en-US"/>
              </w:rPr>
            </w:pPr>
            <w:r w:rsidRPr="00C206B7">
              <w:rPr>
                <w:rFonts w:ascii="Helvetica" w:hAnsi="Helvetica" w:cs="Helvetica"/>
                <w:i/>
                <w:color w:val="0070C0"/>
                <w:sz w:val="16"/>
                <w:szCs w:val="16"/>
                <w:lang w:val="en-US"/>
              </w:rPr>
              <w:t>Contacts:</w:t>
            </w:r>
          </w:p>
        </w:tc>
        <w:tc>
          <w:tcPr>
            <w:tcW w:w="2632" w:type="dxa"/>
            <w:shd w:val="clear" w:color="auto" w:fill="DBE5F1" w:themeFill="accent1" w:themeFillTint="33"/>
          </w:tcPr>
          <w:p w14:paraId="2A376412" w14:textId="77777777" w:rsidR="00C206B7" w:rsidRDefault="00C206B7" w:rsidP="00140272">
            <w:pPr>
              <w:jc w:val="both"/>
              <w:rPr>
                <w:rFonts w:ascii="Helvetica" w:hAnsi="Helvetica" w:cs="Helvetica"/>
                <w:b/>
                <w:color w:val="009ED6"/>
                <w:sz w:val="16"/>
                <w:szCs w:val="16"/>
                <w:lang w:val="en-US"/>
              </w:rPr>
            </w:pPr>
          </w:p>
          <w:p w14:paraId="2A06C58E" w14:textId="77777777" w:rsidR="00140272" w:rsidRPr="000762D9" w:rsidRDefault="00140272" w:rsidP="00140272">
            <w:pPr>
              <w:jc w:val="both"/>
              <w:rPr>
                <w:rFonts w:ascii="Helvetica" w:hAnsi="Helvetica" w:cs="Helvetica"/>
                <w:b/>
                <w:color w:val="009ED6"/>
                <w:sz w:val="16"/>
                <w:szCs w:val="16"/>
                <w:lang w:val="en-US"/>
              </w:rPr>
            </w:pPr>
            <w:r w:rsidRPr="000762D9">
              <w:rPr>
                <w:rFonts w:ascii="Helvetica" w:hAnsi="Helvetica" w:cs="Helvetica"/>
                <w:b/>
                <w:color w:val="009ED6"/>
                <w:sz w:val="16"/>
                <w:szCs w:val="16"/>
                <w:lang w:val="en-US"/>
              </w:rPr>
              <w:t>Mihaela MIHAI</w:t>
            </w:r>
          </w:p>
          <w:p w14:paraId="60D5A935" w14:textId="77777777" w:rsidR="00140272" w:rsidRPr="000762D9" w:rsidRDefault="00140272" w:rsidP="0014027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762D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Cegedim</w:t>
            </w:r>
            <w:proofErr w:type="spellEnd"/>
            <w:r w:rsidRPr="000762D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Customer Information</w:t>
            </w:r>
          </w:p>
          <w:p w14:paraId="7FC9412C" w14:textId="77777777" w:rsidR="00140272" w:rsidRPr="000762D9" w:rsidRDefault="00140272" w:rsidP="0014027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762D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Sr Product Manager</w:t>
            </w:r>
          </w:p>
          <w:p w14:paraId="66D63CE7" w14:textId="77777777" w:rsidR="00140272" w:rsidRPr="000762D9" w:rsidRDefault="00140272" w:rsidP="00140272">
            <w:pPr>
              <w:jc w:val="both"/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  <w:p w14:paraId="43EB56F0" w14:textId="3523E066" w:rsidR="00140272" w:rsidRPr="000762D9" w:rsidRDefault="00140272" w:rsidP="0014027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62D9">
              <w:rPr>
                <w:rFonts w:ascii="Arial" w:hAnsi="Arial" w:cs="Arial"/>
                <w:sz w:val="16"/>
                <w:szCs w:val="16"/>
                <w:lang w:val="en-US"/>
              </w:rPr>
              <w:t>Tel: +40 (0)3 72 13 95 90</w:t>
            </w:r>
          </w:p>
          <w:p w14:paraId="36731A0B" w14:textId="77777777" w:rsidR="00140272" w:rsidRPr="00C206B7" w:rsidRDefault="00575F5F" w:rsidP="00E26850">
            <w:pPr>
              <w:jc w:val="both"/>
              <w:rPr>
                <w:rFonts w:ascii="Arial" w:hAnsi="Arial" w:cs="Arial"/>
                <w:color w:val="009ED6"/>
                <w:sz w:val="16"/>
                <w:szCs w:val="16"/>
                <w:lang w:val="en-US"/>
              </w:rPr>
            </w:pPr>
            <w:hyperlink r:id="rId13" w:history="1">
              <w:r w:rsidR="00E26850" w:rsidRPr="00047CA1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mihaela.mihai@cegedim.com</w:t>
              </w:r>
            </w:hyperlink>
          </w:p>
        </w:tc>
        <w:tc>
          <w:tcPr>
            <w:tcW w:w="2621" w:type="dxa"/>
            <w:gridSpan w:val="2"/>
            <w:shd w:val="clear" w:color="auto" w:fill="DBE5F1" w:themeFill="accent1" w:themeFillTint="33"/>
          </w:tcPr>
          <w:p w14:paraId="78BADE33" w14:textId="77777777" w:rsidR="00C206B7" w:rsidRDefault="00C206B7" w:rsidP="00140272">
            <w:pPr>
              <w:jc w:val="both"/>
              <w:rPr>
                <w:rFonts w:ascii="Helvetica" w:hAnsi="Helvetica" w:cs="Helvetica"/>
                <w:b/>
                <w:color w:val="009ED6"/>
                <w:sz w:val="16"/>
                <w:szCs w:val="16"/>
                <w:lang w:val="en-US"/>
              </w:rPr>
            </w:pPr>
          </w:p>
          <w:p w14:paraId="33EB524C" w14:textId="77777777" w:rsidR="00140272" w:rsidRPr="000762D9" w:rsidRDefault="00140272" w:rsidP="00140272">
            <w:pPr>
              <w:jc w:val="both"/>
              <w:rPr>
                <w:rFonts w:ascii="Helvetica" w:hAnsi="Helvetica" w:cs="Helvetica"/>
                <w:b/>
                <w:color w:val="009ED6"/>
                <w:sz w:val="16"/>
                <w:szCs w:val="16"/>
                <w:lang w:val="en-US"/>
              </w:rPr>
            </w:pPr>
            <w:r w:rsidRPr="000762D9">
              <w:rPr>
                <w:rFonts w:ascii="Helvetica" w:hAnsi="Helvetica" w:cs="Helvetica"/>
                <w:b/>
                <w:color w:val="009ED6"/>
                <w:sz w:val="16"/>
                <w:szCs w:val="16"/>
                <w:lang w:val="en-US"/>
              </w:rPr>
              <w:t>Aude BALLEYDIER</w:t>
            </w:r>
          </w:p>
          <w:p w14:paraId="65C10C8B" w14:textId="77777777" w:rsidR="00140272" w:rsidRPr="000762D9" w:rsidRDefault="00140272" w:rsidP="00140272">
            <w:pPr>
              <w:jc w:val="both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proofErr w:type="spellStart"/>
            <w:r w:rsidRPr="000762D9">
              <w:rPr>
                <w:rFonts w:ascii="Helvetica" w:hAnsi="Helvetica" w:cs="Helvetica"/>
                <w:sz w:val="16"/>
                <w:szCs w:val="16"/>
                <w:lang w:val="en-US"/>
              </w:rPr>
              <w:t>Cegedim</w:t>
            </w:r>
            <w:proofErr w:type="spellEnd"/>
          </w:p>
          <w:p w14:paraId="3A0B0FA8" w14:textId="77777777" w:rsidR="00140272" w:rsidRDefault="00544446" w:rsidP="00140272">
            <w:pPr>
              <w:jc w:val="both"/>
              <w:rPr>
                <w:rFonts w:ascii="Helvetica" w:hAnsi="Helvetica" w:cs="Helvetica"/>
                <w:color w:val="365F91" w:themeColor="accent1" w:themeShade="BF"/>
                <w:sz w:val="16"/>
                <w:szCs w:val="16"/>
                <w:lang w:val="en-US"/>
              </w:rPr>
            </w:pPr>
            <w:r w:rsidRPr="00DF7FD9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Media and Communications Manager</w:t>
            </w:r>
            <w:r w:rsidRPr="000762D9">
              <w:rPr>
                <w:rFonts w:ascii="Helvetica" w:hAnsi="Helvetica" w:cs="Helvetica"/>
                <w:color w:val="365F91" w:themeColor="accent1" w:themeShade="BF"/>
                <w:sz w:val="16"/>
                <w:szCs w:val="16"/>
                <w:lang w:val="en-US"/>
              </w:rPr>
              <w:t xml:space="preserve"> </w:t>
            </w:r>
          </w:p>
          <w:p w14:paraId="55646DBB" w14:textId="77777777" w:rsidR="00544446" w:rsidRPr="000762D9" w:rsidRDefault="00544446" w:rsidP="00140272">
            <w:pPr>
              <w:jc w:val="both"/>
              <w:rPr>
                <w:rFonts w:ascii="Helvetica" w:hAnsi="Helvetica" w:cs="Helvetica"/>
                <w:color w:val="365F91" w:themeColor="accent1" w:themeShade="BF"/>
                <w:sz w:val="16"/>
                <w:szCs w:val="16"/>
                <w:lang w:val="en-US"/>
              </w:rPr>
            </w:pPr>
          </w:p>
          <w:p w14:paraId="08D286A3" w14:textId="75F308E3" w:rsidR="00140272" w:rsidRPr="000762D9" w:rsidRDefault="00140272" w:rsidP="00140272">
            <w:pPr>
              <w:jc w:val="both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0762D9">
              <w:rPr>
                <w:rFonts w:ascii="Helvetica" w:hAnsi="Helvetica" w:cs="Helvetica"/>
                <w:sz w:val="16"/>
                <w:szCs w:val="16"/>
                <w:lang w:val="en-US"/>
              </w:rPr>
              <w:t>Tel +33 (0)1 49 09 68 81</w:t>
            </w:r>
          </w:p>
          <w:p w14:paraId="0F83DDAE" w14:textId="77777777" w:rsidR="00140272" w:rsidRPr="000762D9" w:rsidRDefault="00575F5F" w:rsidP="00140272">
            <w:pPr>
              <w:jc w:val="both"/>
              <w:rPr>
                <w:rFonts w:ascii="Helvetica" w:hAnsi="Helvetica" w:cs="Helvetica"/>
                <w:color w:val="365F91" w:themeColor="accent1" w:themeShade="BF"/>
                <w:sz w:val="16"/>
                <w:szCs w:val="16"/>
                <w:lang w:val="en-US"/>
              </w:rPr>
            </w:pPr>
            <w:hyperlink r:id="rId14" w:history="1">
              <w:r w:rsidR="00E26850" w:rsidRPr="00047CA1">
                <w:rPr>
                  <w:rStyle w:val="Hyperlink"/>
                  <w:rFonts w:ascii="Helvetica" w:hAnsi="Helvetica" w:cs="Helvetica"/>
                  <w:sz w:val="16"/>
                  <w:szCs w:val="16"/>
                  <w:lang w:val="en-US"/>
                </w:rPr>
                <w:t>aude.balleydier@cegedim.fr</w:t>
              </w:r>
            </w:hyperlink>
          </w:p>
        </w:tc>
        <w:tc>
          <w:tcPr>
            <w:tcW w:w="2666" w:type="dxa"/>
            <w:gridSpan w:val="2"/>
            <w:shd w:val="clear" w:color="auto" w:fill="DBE5F1" w:themeFill="accent1" w:themeFillTint="33"/>
          </w:tcPr>
          <w:p w14:paraId="50DC141B" w14:textId="77777777" w:rsidR="00C206B7" w:rsidRDefault="00C206B7" w:rsidP="00140272">
            <w:pPr>
              <w:ind w:left="98"/>
              <w:rPr>
                <w:rFonts w:ascii="Arial" w:eastAsia="Arial" w:hAnsi="Arial" w:cs="Arial"/>
                <w:b/>
                <w:sz w:val="14"/>
                <w:lang w:val="en-US"/>
              </w:rPr>
            </w:pPr>
          </w:p>
          <w:p w14:paraId="25FC3CFB" w14:textId="77777777" w:rsidR="00140272" w:rsidRPr="000762D9" w:rsidRDefault="00140272" w:rsidP="00140272">
            <w:pPr>
              <w:ind w:left="98"/>
              <w:rPr>
                <w:lang w:val="en-US"/>
              </w:rPr>
            </w:pPr>
            <w:r w:rsidRPr="000762D9">
              <w:rPr>
                <w:rFonts w:ascii="Arial" w:eastAsia="Arial" w:hAnsi="Arial" w:cs="Arial"/>
                <w:b/>
                <w:sz w:val="14"/>
                <w:lang w:val="en-US"/>
              </w:rPr>
              <w:t xml:space="preserve">Follow </w:t>
            </w:r>
            <w:proofErr w:type="spellStart"/>
            <w:r w:rsidRPr="000762D9">
              <w:rPr>
                <w:rFonts w:ascii="Arial" w:eastAsia="Arial" w:hAnsi="Arial" w:cs="Arial"/>
                <w:b/>
                <w:sz w:val="14"/>
                <w:lang w:val="en-US"/>
              </w:rPr>
              <w:t>Cegedim</w:t>
            </w:r>
            <w:proofErr w:type="spellEnd"/>
            <w:r w:rsidRPr="000762D9">
              <w:rPr>
                <w:rFonts w:ascii="Arial" w:eastAsia="Arial" w:hAnsi="Arial" w:cs="Arial"/>
                <w:b/>
                <w:sz w:val="14"/>
                <w:lang w:val="en-US"/>
              </w:rPr>
              <w:t xml:space="preserve">: </w:t>
            </w:r>
          </w:p>
          <w:p w14:paraId="58BC359C" w14:textId="61C766DF" w:rsidR="00140272" w:rsidRPr="000762D9" w:rsidRDefault="00365C43" w:rsidP="00140272">
            <w:pPr>
              <w:jc w:val="both"/>
              <w:rPr>
                <w:rFonts w:ascii="Helvetica" w:hAnsi="Helvetica"/>
                <w:color w:val="365F91" w:themeColor="accent1" w:themeShade="BF"/>
                <w:sz w:val="16"/>
                <w:szCs w:val="16"/>
                <w:lang w:val="en-US"/>
              </w:rPr>
            </w:pPr>
            <w:r w:rsidRPr="000762D9">
              <w:rPr>
                <w:noProof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3264F6A4" wp14:editId="6492A9D1">
                  <wp:simplePos x="0" y="0"/>
                  <wp:positionH relativeFrom="column">
                    <wp:posOffset>403348</wp:posOffset>
                  </wp:positionH>
                  <wp:positionV relativeFrom="paragraph">
                    <wp:posOffset>112210</wp:posOffset>
                  </wp:positionV>
                  <wp:extent cx="168884" cy="193941"/>
                  <wp:effectExtent l="0" t="0" r="0" b="0"/>
                  <wp:wrapNone/>
                  <wp:docPr id="16" name="Picture 16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15"/>
                          </pic:cNvPr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84" cy="19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0272" w:rsidRPr="000762D9">
              <w:rPr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5145AEB3" wp14:editId="794BFCA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111760</wp:posOffset>
                  </wp:positionV>
                  <wp:extent cx="168884" cy="193941"/>
                  <wp:effectExtent l="0" t="0" r="3175" b="0"/>
                  <wp:wrapNone/>
                  <wp:docPr id="14" name="Picture 14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17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84" cy="19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618600" w14:textId="260D2815" w:rsidR="00140272" w:rsidRPr="000762D9" w:rsidRDefault="00140272" w:rsidP="00140272">
            <w:pPr>
              <w:jc w:val="both"/>
              <w:rPr>
                <w:rFonts w:ascii="Helvetica" w:hAnsi="Helvetica" w:cs="Helvetica"/>
                <w:b/>
                <w:color w:val="365F91" w:themeColor="accent1" w:themeShade="BF"/>
                <w:sz w:val="16"/>
                <w:szCs w:val="16"/>
                <w:lang w:val="en-US"/>
              </w:rPr>
            </w:pPr>
            <w:r w:rsidRPr="000762D9"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732803D4" wp14:editId="28DC5E53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1703</wp:posOffset>
                  </wp:positionV>
                  <wp:extent cx="168884" cy="193941"/>
                  <wp:effectExtent l="0" t="0" r="0" b="0"/>
                  <wp:wrapNone/>
                  <wp:docPr id="17" name="Picture 17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84" cy="19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62D9">
              <w:rPr>
                <w:rFonts w:ascii="Helvetica" w:hAnsi="Helvetica" w:cs="Helvetica"/>
                <w:b/>
                <w:color w:val="365F91" w:themeColor="accent1" w:themeShade="BF"/>
                <w:sz w:val="16"/>
                <w:szCs w:val="16"/>
                <w:lang w:val="en-US"/>
              </w:rPr>
              <w:t xml:space="preserve">                   </w:t>
            </w:r>
          </w:p>
        </w:tc>
      </w:tr>
      <w:tr w:rsidR="00140272" w:rsidRPr="000762D9" w14:paraId="131F4D64" w14:textId="77777777" w:rsidTr="00235773">
        <w:tc>
          <w:tcPr>
            <w:tcW w:w="1526" w:type="dxa"/>
          </w:tcPr>
          <w:p w14:paraId="5DCD266C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2632" w:type="dxa"/>
          </w:tcPr>
          <w:p w14:paraId="2247D98C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1956" w:type="dxa"/>
          </w:tcPr>
          <w:p w14:paraId="3971A14F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665" w:type="dxa"/>
          </w:tcPr>
          <w:p w14:paraId="5746182F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2666" w:type="dxa"/>
            <w:gridSpan w:val="2"/>
          </w:tcPr>
          <w:p w14:paraId="371A9DAA" w14:textId="77777777" w:rsidR="00140272" w:rsidRPr="000762D9" w:rsidRDefault="00140272" w:rsidP="00140272">
            <w:pPr>
              <w:jc w:val="both"/>
              <w:rPr>
                <w:color w:val="365F91" w:themeColor="accent1" w:themeShade="BF"/>
                <w:lang w:val="en-US"/>
              </w:rPr>
            </w:pPr>
          </w:p>
        </w:tc>
      </w:tr>
    </w:tbl>
    <w:p w14:paraId="32E8A582" w14:textId="3FDE4E3F" w:rsidR="00FD0F9E" w:rsidRPr="000762D9" w:rsidRDefault="00FD0F9E" w:rsidP="007D1650">
      <w:pPr>
        <w:tabs>
          <w:tab w:val="left" w:pos="993"/>
        </w:tabs>
        <w:rPr>
          <w:sz w:val="4"/>
          <w:szCs w:val="4"/>
          <w:lang w:val="en-US"/>
        </w:rPr>
      </w:pPr>
    </w:p>
    <w:sectPr w:rsidR="00FD0F9E" w:rsidRPr="000762D9" w:rsidSect="000342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 w:code="9"/>
      <w:pgMar w:top="720" w:right="1134" w:bottom="360" w:left="1418" w:header="0" w:footer="51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ACE6" w14:textId="77777777" w:rsidR="00575F5F" w:rsidRDefault="00575F5F" w:rsidP="00F823E5">
      <w:pPr>
        <w:spacing w:after="0"/>
      </w:pPr>
      <w:r>
        <w:separator/>
      </w:r>
    </w:p>
  </w:endnote>
  <w:endnote w:type="continuationSeparator" w:id="0">
    <w:p w14:paraId="2C89B0BA" w14:textId="77777777" w:rsidR="00575F5F" w:rsidRDefault="00575F5F" w:rsidP="00F823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5 Helvetica Roman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Neue-Heavy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E01" w14:textId="77777777" w:rsidR="005412F0" w:rsidRDefault="00541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393434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0070C0"/>
        <w:sz w:val="16"/>
        <w:szCs w:val="16"/>
      </w:rPr>
    </w:sdtEndPr>
    <w:sdtContent>
      <w:p w14:paraId="40934122" w14:textId="62ECE141" w:rsidR="005412F0" w:rsidRDefault="005412F0" w:rsidP="00DC0490">
        <w:pPr>
          <w:pStyle w:val="Footer"/>
          <w:jc w:val="center"/>
          <w:rPr>
            <w:rFonts w:ascii="Arial" w:hAnsi="Arial" w:cs="Arial"/>
            <w:color w:val="666666"/>
            <w:sz w:val="16"/>
            <w:szCs w:val="16"/>
            <w:lang w:val="en-US"/>
          </w:rPr>
        </w:pPr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>20,</w:t>
        </w:r>
        <w:r w:rsidRPr="00CC2BD9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 xml:space="preserve"> </w:t>
        </w:r>
        <w:proofErr w:type="spellStart"/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>Modrogan</w:t>
        </w:r>
        <w:proofErr w:type="spellEnd"/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 xml:space="preserve"> St., 3rd floor, </w:t>
        </w:r>
        <w:r w:rsidRPr="00CC2BD9">
          <w:rPr>
            <w:rFonts w:ascii="Arial" w:eastAsia="Cambria" w:hAnsi="Arial" w:cs="Arial"/>
            <w:color w:val="666666"/>
            <w:sz w:val="16"/>
            <w:szCs w:val="16"/>
            <w:lang w:val="en-US"/>
          </w:rPr>
          <w:t>011826 Bucharest 1, Romania</w:t>
        </w:r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 xml:space="preserve"> </w:t>
        </w:r>
        <w:r>
          <w:rPr>
            <w:rFonts w:ascii="Arial" w:hAnsi="Arial" w:cs="Arial"/>
            <w:noProof/>
            <w:color w:val="666666"/>
            <w:sz w:val="16"/>
            <w:szCs w:val="16"/>
            <w:lang w:val="en-US"/>
          </w:rPr>
          <w:t>|</w:t>
        </w:r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 xml:space="preserve"> </w:t>
        </w:r>
        <w:r w:rsidRPr="00CC2BD9">
          <w:rPr>
            <w:rFonts w:ascii="Arial" w:eastAsia="Cambria" w:hAnsi="Arial" w:cs="Arial"/>
            <w:color w:val="666666"/>
            <w:sz w:val="16"/>
            <w:szCs w:val="16"/>
            <w:lang w:val="en-US"/>
          </w:rPr>
          <w:t>Phone</w:t>
        </w:r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 xml:space="preserve">: +40 372139590 </w:t>
        </w:r>
        <w:r>
          <w:rPr>
            <w:rFonts w:ascii="Arial" w:hAnsi="Arial" w:cs="Arial"/>
            <w:noProof/>
            <w:color w:val="666666"/>
            <w:sz w:val="16"/>
            <w:szCs w:val="16"/>
            <w:lang w:val="en-US"/>
          </w:rPr>
          <w:t>|</w:t>
        </w:r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 xml:space="preserve"> </w:t>
        </w:r>
        <w:r w:rsidRPr="00CC2BD9">
          <w:rPr>
            <w:rFonts w:ascii="Arial" w:eastAsia="Cambria" w:hAnsi="Arial" w:cs="Arial"/>
            <w:color w:val="666666"/>
            <w:sz w:val="16"/>
            <w:szCs w:val="16"/>
            <w:lang w:val="en-US"/>
          </w:rPr>
          <w:t>Fax: +40 372139591</w:t>
        </w:r>
        <w:r>
          <w:rPr>
            <w:rFonts w:ascii="Arial" w:hAnsi="Arial" w:cs="Arial"/>
            <w:noProof/>
            <w:color w:val="666666"/>
            <w:sz w:val="16"/>
            <w:szCs w:val="16"/>
            <w:lang w:val="en-US"/>
          </w:rPr>
          <w:t xml:space="preserve"> |</w:t>
        </w:r>
        <w:r w:rsidRPr="00CC2BD9">
          <w:rPr>
            <w:rFonts w:ascii="Arial" w:hAnsi="Arial" w:cs="Arial"/>
            <w:color w:val="666666"/>
            <w:sz w:val="16"/>
            <w:szCs w:val="16"/>
            <w:lang w:val="en-US"/>
          </w:rPr>
          <w:t xml:space="preserve"> </w:t>
        </w:r>
      </w:p>
      <w:p w14:paraId="5A70853C" w14:textId="2F252F45" w:rsidR="005412F0" w:rsidRPr="00054DA9" w:rsidRDefault="005412F0" w:rsidP="00DC0490">
        <w:pPr>
          <w:pStyle w:val="Footer"/>
          <w:jc w:val="center"/>
          <w:rPr>
            <w:color w:val="666666"/>
            <w:szCs w:val="16"/>
          </w:rPr>
        </w:pPr>
        <w:r w:rsidRPr="00CC2BD9">
          <w:rPr>
            <w:rFonts w:ascii="Arial" w:eastAsia="Cambria" w:hAnsi="Arial" w:cs="Arial"/>
            <w:color w:val="666666"/>
            <w:sz w:val="16"/>
            <w:szCs w:val="16"/>
            <w:lang w:val="en-US"/>
          </w:rPr>
          <w:t>www.cegedim</w:t>
        </w:r>
        <w:r>
          <w:rPr>
            <w:rFonts w:ascii="Arial" w:eastAsia="Cambria" w:hAnsi="Arial" w:cs="Arial"/>
            <w:color w:val="666666"/>
            <w:sz w:val="16"/>
            <w:szCs w:val="16"/>
            <w:lang w:val="en-US"/>
          </w:rPr>
          <w:t>-healthcare</w:t>
        </w:r>
        <w:r w:rsidRPr="00CC2BD9">
          <w:rPr>
            <w:rFonts w:ascii="Arial" w:eastAsia="Cambria" w:hAnsi="Arial" w:cs="Arial"/>
            <w:color w:val="666666"/>
            <w:sz w:val="16"/>
            <w:szCs w:val="16"/>
            <w:lang w:val="en-US"/>
          </w:rPr>
          <w:t>.</w:t>
        </w:r>
        <w:r>
          <w:rPr>
            <w:rFonts w:ascii="Arial" w:eastAsia="Cambria" w:hAnsi="Arial" w:cs="Arial"/>
            <w:color w:val="666666"/>
            <w:sz w:val="16"/>
            <w:szCs w:val="16"/>
            <w:lang w:val="en-US"/>
          </w:rPr>
          <w:t>ro</w:t>
        </w:r>
        <w:r w:rsidRPr="00CC2BD9">
          <w:rPr>
            <w:rFonts w:ascii="Arial" w:eastAsia="Cambria" w:hAnsi="Arial" w:cs="Arial"/>
            <w:color w:val="666666"/>
            <w:sz w:val="16"/>
            <w:szCs w:val="17"/>
            <w:lang w:val="en-US"/>
          </w:rPr>
          <w:br/>
        </w:r>
        <w:proofErr w:type="spellStart"/>
        <w:r w:rsidRPr="00CC2BD9">
          <w:rPr>
            <w:rFonts w:ascii="Arial" w:eastAsia="Microsoft Sans Serif" w:hAnsi="Arial" w:cs="Arial"/>
            <w:b/>
            <w:color w:val="666666"/>
            <w:sz w:val="16"/>
            <w:lang w:val="en-US"/>
          </w:rPr>
          <w:t>Cegedim</w:t>
        </w:r>
        <w:proofErr w:type="spellEnd"/>
        <w:r w:rsidRPr="00CC2BD9">
          <w:rPr>
            <w:rFonts w:ascii="Arial" w:eastAsia="Microsoft Sans Serif" w:hAnsi="Arial" w:cs="Arial"/>
            <w:b/>
            <w:color w:val="666666"/>
            <w:sz w:val="16"/>
            <w:lang w:val="en-US"/>
          </w:rPr>
          <w:t xml:space="preserve"> Customer Information </w:t>
        </w:r>
        <w:proofErr w:type="spellStart"/>
        <w:r w:rsidRPr="00CC2BD9">
          <w:rPr>
            <w:rFonts w:ascii="Arial" w:eastAsia="Microsoft Sans Serif" w:hAnsi="Arial" w:cs="Arial"/>
            <w:b/>
            <w:color w:val="666666"/>
            <w:sz w:val="16"/>
            <w:lang w:val="en-US"/>
          </w:rPr>
          <w:t>s.r.l</w:t>
        </w:r>
        <w:proofErr w:type="spellEnd"/>
        <w:r w:rsidRPr="00CC2BD9">
          <w:rPr>
            <w:rFonts w:ascii="Arial" w:eastAsia="Microsoft Sans Serif" w:hAnsi="Arial" w:cs="Arial"/>
            <w:b/>
            <w:color w:val="666666"/>
            <w:sz w:val="16"/>
            <w:lang w:val="en-US"/>
          </w:rPr>
          <w:t>.</w:t>
        </w:r>
        <w:r w:rsidRPr="00CC2BD9">
          <w:rPr>
            <w:rFonts w:ascii="Arial" w:eastAsia="Microsoft Sans Serif" w:hAnsi="Arial" w:cs="Arial"/>
            <w:color w:val="666666"/>
            <w:sz w:val="16"/>
            <w:lang w:val="en-US"/>
          </w:rPr>
          <w:t xml:space="preserve"> – Trade Registry No. </w:t>
        </w:r>
        <w:r>
          <w:rPr>
            <w:rFonts w:ascii="Arial" w:eastAsia="Microsoft Sans Serif" w:hAnsi="Arial" w:cs="Arial"/>
            <w:b/>
            <w:color w:val="666666"/>
            <w:sz w:val="16"/>
          </w:rPr>
          <w:t>J40/13603/</w:t>
        </w:r>
        <w:r w:rsidRPr="00161E23">
          <w:rPr>
            <w:rFonts w:ascii="Arial" w:eastAsia="Microsoft Sans Serif" w:hAnsi="Arial" w:cs="Arial"/>
            <w:b/>
            <w:color w:val="666666"/>
            <w:sz w:val="16"/>
          </w:rPr>
          <w:t>2014</w:t>
        </w:r>
        <w:r>
          <w:rPr>
            <w:rFonts w:ascii="Arial" w:eastAsia="Microsoft Sans Serif" w:hAnsi="Arial" w:cs="Arial"/>
            <w:b/>
            <w:color w:val="666666"/>
            <w:sz w:val="16"/>
          </w:rPr>
          <w:t xml:space="preserve"> </w:t>
        </w:r>
        <w:r w:rsidRPr="00054DA9">
          <w:rPr>
            <w:rFonts w:ascii="Arial" w:eastAsia="Microsoft Sans Serif" w:hAnsi="Arial" w:cs="Arial"/>
            <w:color w:val="666666"/>
            <w:sz w:val="16"/>
          </w:rPr>
          <w:t xml:space="preserve">– </w:t>
        </w:r>
        <w:r>
          <w:rPr>
            <w:rFonts w:ascii="Arial" w:eastAsia="Microsoft Sans Serif" w:hAnsi="Arial" w:cs="Arial"/>
            <w:color w:val="666666"/>
            <w:sz w:val="16"/>
          </w:rPr>
          <w:t xml:space="preserve">VAT No. RO </w:t>
        </w:r>
        <w:r w:rsidRPr="00161E23">
          <w:rPr>
            <w:rFonts w:ascii="Arial" w:eastAsia="Microsoft Sans Serif" w:hAnsi="Arial" w:cs="Arial"/>
            <w:b/>
            <w:color w:val="666666"/>
            <w:sz w:val="16"/>
          </w:rPr>
          <w:t>33826778</w:t>
        </w:r>
      </w:p>
      <w:p w14:paraId="29B4318E" w14:textId="77777777" w:rsidR="005412F0" w:rsidRPr="00DC0490" w:rsidRDefault="005412F0">
        <w:pPr>
          <w:pStyle w:val="Footer"/>
          <w:jc w:val="right"/>
          <w:rPr>
            <w:rFonts w:ascii="Arial" w:eastAsiaTheme="majorEastAsia" w:hAnsi="Arial" w:cs="Arial"/>
            <w:color w:val="0070C0"/>
            <w:sz w:val="16"/>
            <w:szCs w:val="16"/>
          </w:rPr>
        </w:pPr>
        <w:proofErr w:type="gramStart"/>
        <w:r w:rsidRPr="00DC0490">
          <w:rPr>
            <w:rFonts w:ascii="Arial" w:eastAsiaTheme="majorEastAsia" w:hAnsi="Arial" w:cs="Arial"/>
            <w:color w:val="0070C0"/>
            <w:sz w:val="16"/>
            <w:szCs w:val="16"/>
          </w:rPr>
          <w:t>page</w:t>
        </w:r>
        <w:proofErr w:type="gramEnd"/>
        <w:r w:rsidRPr="00DC0490">
          <w:rPr>
            <w:rFonts w:ascii="Arial" w:eastAsiaTheme="majorEastAsia" w:hAnsi="Arial" w:cs="Arial"/>
            <w:color w:val="0070C0"/>
            <w:sz w:val="16"/>
            <w:szCs w:val="16"/>
          </w:rPr>
          <w:t xml:space="preserve"> </w:t>
        </w:r>
        <w:r w:rsidRPr="00DC0490">
          <w:rPr>
            <w:rFonts w:ascii="Arial" w:eastAsiaTheme="minorEastAsia" w:hAnsi="Arial" w:cs="Arial"/>
            <w:color w:val="0070C0"/>
            <w:sz w:val="16"/>
            <w:szCs w:val="16"/>
          </w:rPr>
          <w:fldChar w:fldCharType="begin"/>
        </w:r>
        <w:r w:rsidRPr="00DC0490">
          <w:rPr>
            <w:rFonts w:ascii="Arial" w:hAnsi="Arial" w:cs="Arial"/>
            <w:color w:val="0070C0"/>
            <w:sz w:val="16"/>
            <w:szCs w:val="16"/>
          </w:rPr>
          <w:instrText xml:space="preserve"> PAGE    \* MERGEFORMAT </w:instrText>
        </w:r>
        <w:r w:rsidRPr="00DC0490">
          <w:rPr>
            <w:rFonts w:ascii="Arial" w:eastAsiaTheme="minorEastAsia" w:hAnsi="Arial" w:cs="Arial"/>
            <w:color w:val="0070C0"/>
            <w:sz w:val="16"/>
            <w:szCs w:val="16"/>
          </w:rPr>
          <w:fldChar w:fldCharType="separate"/>
        </w:r>
        <w:r w:rsidRPr="008107B1">
          <w:rPr>
            <w:rFonts w:ascii="Arial" w:eastAsiaTheme="majorEastAsia" w:hAnsi="Arial" w:cs="Arial"/>
            <w:noProof/>
            <w:color w:val="0070C0"/>
            <w:sz w:val="16"/>
            <w:szCs w:val="16"/>
          </w:rPr>
          <w:t>5</w:t>
        </w:r>
        <w:r w:rsidRPr="00DC0490">
          <w:rPr>
            <w:rFonts w:ascii="Arial" w:eastAsiaTheme="majorEastAsia" w:hAnsi="Arial" w:cs="Arial"/>
            <w:noProof/>
            <w:color w:val="0070C0"/>
            <w:sz w:val="16"/>
            <w:szCs w:val="16"/>
          </w:rPr>
          <w:fldChar w:fldCharType="end"/>
        </w:r>
      </w:p>
    </w:sdtContent>
  </w:sdt>
  <w:p w14:paraId="00DDD780" w14:textId="77777777" w:rsidR="005412F0" w:rsidRPr="0073331D" w:rsidRDefault="005412F0" w:rsidP="0073331D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2B60" w14:textId="77777777" w:rsidR="005412F0" w:rsidRPr="00D43A24" w:rsidRDefault="005412F0" w:rsidP="0091305C">
    <w:pPr>
      <w:pStyle w:val="Footer"/>
      <w:numPr>
        <w:ilvl w:val="0"/>
        <w:numId w:val="6"/>
      </w:numPr>
      <w:tabs>
        <w:tab w:val="clear" w:pos="810"/>
        <w:tab w:val="clear" w:pos="4536"/>
        <w:tab w:val="clear" w:pos="9072"/>
      </w:tabs>
      <w:ind w:left="180" w:hanging="180"/>
      <w:jc w:val="center"/>
      <w:rPr>
        <w:rFonts w:ascii="Arial" w:eastAsia="Cambria" w:hAnsi="Arial" w:cs="Arial"/>
        <w:color w:val="666666"/>
        <w:sz w:val="16"/>
        <w:szCs w:val="16"/>
      </w:rPr>
    </w:pPr>
    <w:r w:rsidRPr="00E21FC8">
      <w:rPr>
        <w:rFonts w:ascii="Arial" w:hAnsi="Arial" w:cs="Arial"/>
        <w:color w:val="666666"/>
        <w:sz w:val="16"/>
        <w:szCs w:val="16"/>
        <w:lang w:val="en-US"/>
      </w:rPr>
      <w:t xml:space="preserve">20 Modrogan St. 3rd foor </w:t>
    </w:r>
    <w:r w:rsidRPr="00E21FC8">
      <w:rPr>
        <w:rFonts w:ascii="Arial" w:eastAsia="Cambria" w:hAnsi="Arial" w:cs="Arial"/>
        <w:color w:val="666666"/>
        <w:sz w:val="16"/>
        <w:szCs w:val="16"/>
        <w:lang w:val="en-US"/>
      </w:rPr>
      <w:t>Bucarest 1st district</w:t>
    </w:r>
    <w:r w:rsidRPr="00E21FC8">
      <w:rPr>
        <w:rFonts w:ascii="Arial" w:hAnsi="Arial" w:cs="Arial"/>
        <w:color w:val="666666"/>
        <w:sz w:val="16"/>
        <w:szCs w:val="16"/>
        <w:lang w:val="en-US"/>
      </w:rPr>
      <w:t xml:space="preserve"> </w:t>
    </w:r>
    <w:r w:rsidRPr="00054DA9">
      <w:rPr>
        <w:rFonts w:ascii="Arial" w:hAnsi="Arial" w:cs="Arial"/>
        <w:noProof/>
        <w:color w:val="666666"/>
        <w:sz w:val="16"/>
        <w:szCs w:val="16"/>
        <w:lang w:val="en-US"/>
      </w:rPr>
      <w:drawing>
        <wp:inline distT="0" distB="0" distL="0" distR="0" wp14:anchorId="3941F8DD" wp14:editId="32F4FAD8">
          <wp:extent cx="60960" cy="60960"/>
          <wp:effectExtent l="19050" t="0" r="0" b="0"/>
          <wp:docPr id="7" name="Image 8" descr="carre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e_co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" cy="6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FC8">
      <w:rPr>
        <w:rFonts w:ascii="Arial" w:hAnsi="Arial" w:cs="Arial"/>
        <w:color w:val="666666"/>
        <w:sz w:val="16"/>
        <w:szCs w:val="16"/>
        <w:lang w:val="en-US"/>
      </w:rPr>
      <w:t xml:space="preserve"> </w:t>
    </w:r>
    <w:r w:rsidRPr="00E21FC8">
      <w:rPr>
        <w:rFonts w:ascii="Arial" w:eastAsia="Cambria" w:hAnsi="Arial" w:cs="Arial"/>
        <w:color w:val="666666"/>
        <w:sz w:val="16"/>
        <w:szCs w:val="16"/>
        <w:lang w:val="en-US"/>
      </w:rPr>
      <w:t>Tel</w:t>
    </w:r>
    <w:r w:rsidRPr="00E21FC8">
      <w:rPr>
        <w:rFonts w:ascii="Arial" w:hAnsi="Arial" w:cs="Arial"/>
        <w:color w:val="666666"/>
        <w:sz w:val="16"/>
        <w:szCs w:val="16"/>
        <w:lang w:val="en-US"/>
      </w:rPr>
      <w:t xml:space="preserve">: +40 372139590 </w:t>
    </w:r>
    <w:r w:rsidRPr="00054DA9">
      <w:rPr>
        <w:rFonts w:ascii="Arial" w:hAnsi="Arial" w:cs="Arial"/>
        <w:noProof/>
        <w:color w:val="666666"/>
        <w:sz w:val="16"/>
        <w:szCs w:val="16"/>
        <w:lang w:val="en-US"/>
      </w:rPr>
      <w:drawing>
        <wp:inline distT="0" distB="0" distL="0" distR="0" wp14:anchorId="7B481206" wp14:editId="16E85D0E">
          <wp:extent cx="60960" cy="60960"/>
          <wp:effectExtent l="19050" t="0" r="0" b="0"/>
          <wp:docPr id="12" name="Image 9" descr="carre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e_co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" cy="6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FC8">
      <w:rPr>
        <w:rFonts w:ascii="Arial" w:hAnsi="Arial" w:cs="Arial"/>
        <w:color w:val="666666"/>
        <w:sz w:val="16"/>
        <w:szCs w:val="16"/>
        <w:lang w:val="en-US"/>
      </w:rPr>
      <w:t xml:space="preserve"> </w:t>
    </w:r>
    <w:r w:rsidRPr="00E21FC8">
      <w:rPr>
        <w:rFonts w:ascii="Arial" w:eastAsia="Cambria" w:hAnsi="Arial" w:cs="Arial"/>
        <w:color w:val="666666"/>
        <w:sz w:val="16"/>
        <w:szCs w:val="16"/>
        <w:lang w:val="en-US"/>
      </w:rPr>
      <w:t>Fax: +40 372139591</w:t>
    </w:r>
    <w:r w:rsidRPr="00054DA9">
      <w:rPr>
        <w:rFonts w:ascii="Arial" w:hAnsi="Arial" w:cs="Arial"/>
        <w:noProof/>
        <w:color w:val="666666"/>
        <w:sz w:val="16"/>
        <w:szCs w:val="16"/>
        <w:lang w:val="en-US"/>
      </w:rPr>
      <w:drawing>
        <wp:inline distT="0" distB="0" distL="0" distR="0" wp14:anchorId="6B4692B6" wp14:editId="0D774BE7">
          <wp:extent cx="60960" cy="60960"/>
          <wp:effectExtent l="19050" t="0" r="0" b="0"/>
          <wp:docPr id="13" name="Image 10" descr="carre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e_co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" cy="6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FC8">
      <w:rPr>
        <w:rFonts w:ascii="Arial" w:hAnsi="Arial" w:cs="Arial"/>
        <w:color w:val="666666"/>
        <w:sz w:val="16"/>
        <w:szCs w:val="16"/>
        <w:lang w:val="en-US"/>
      </w:rPr>
      <w:t xml:space="preserve"> </w:t>
    </w:r>
    <w:r w:rsidRPr="00E21FC8">
      <w:rPr>
        <w:rFonts w:ascii="Arial" w:eastAsia="Cambria" w:hAnsi="Arial" w:cs="Arial"/>
        <w:color w:val="666666"/>
        <w:sz w:val="16"/>
        <w:szCs w:val="16"/>
        <w:lang w:val="en-US"/>
      </w:rPr>
      <w:t>www.cegedim-healthcare.ro</w:t>
    </w:r>
    <w:r w:rsidRPr="00E21FC8">
      <w:rPr>
        <w:rFonts w:ascii="Arial" w:eastAsia="Cambria" w:hAnsi="Arial" w:cs="Arial"/>
        <w:color w:val="666666"/>
        <w:sz w:val="16"/>
        <w:szCs w:val="17"/>
        <w:lang w:val="en-US"/>
      </w:rPr>
      <w:br/>
    </w:r>
    <w:r w:rsidRPr="00E21FC8">
      <w:rPr>
        <w:rFonts w:ascii="Arial" w:eastAsia="Microsoft Sans Serif" w:hAnsi="Arial" w:cs="Arial"/>
        <w:b/>
        <w:color w:val="666666"/>
        <w:sz w:val="16"/>
        <w:lang w:val="en-US"/>
      </w:rPr>
      <w:t>Cegedim Customer Information s.r.l.</w:t>
    </w:r>
    <w:r w:rsidRPr="00E21FC8">
      <w:rPr>
        <w:rFonts w:ascii="Arial" w:eastAsia="Microsoft Sans Serif" w:hAnsi="Arial" w:cs="Arial"/>
        <w:color w:val="666666"/>
        <w:sz w:val="16"/>
        <w:lang w:val="en-US"/>
      </w:rPr>
      <w:t xml:space="preserve"> – Trade Registry no. </w:t>
    </w:r>
    <w:r w:rsidRPr="00D43A24">
      <w:rPr>
        <w:rFonts w:ascii="Arial" w:eastAsia="Microsoft Sans Serif" w:hAnsi="Arial" w:cs="Arial"/>
        <w:b/>
        <w:color w:val="666666"/>
        <w:sz w:val="16"/>
      </w:rPr>
      <w:t>J2014013603408</w:t>
    </w:r>
    <w:r w:rsidRPr="00D43A24">
      <w:rPr>
        <w:rFonts w:ascii="Arial" w:eastAsia="Microsoft Sans Serif" w:hAnsi="Arial" w:cs="Arial"/>
        <w:color w:val="666666"/>
        <w:sz w:val="16"/>
      </w:rPr>
      <w:t xml:space="preserve">– </w:t>
    </w:r>
    <w:r>
      <w:rPr>
        <w:rFonts w:ascii="Arial" w:eastAsia="Microsoft Sans Serif" w:hAnsi="Arial" w:cs="Arial"/>
        <w:color w:val="666666"/>
        <w:sz w:val="16"/>
      </w:rPr>
      <w:t xml:space="preserve">VAT </w:t>
    </w:r>
    <w:r w:rsidRPr="00D43A24">
      <w:rPr>
        <w:rFonts w:ascii="Arial" w:eastAsia="Microsoft Sans Serif" w:hAnsi="Arial" w:cs="Arial"/>
        <w:color w:val="666666"/>
        <w:sz w:val="16"/>
      </w:rPr>
      <w:t xml:space="preserve">RO </w:t>
    </w:r>
    <w:r w:rsidRPr="00D43A24">
      <w:rPr>
        <w:rFonts w:ascii="Arial" w:eastAsia="Microsoft Sans Serif" w:hAnsi="Arial" w:cs="Arial"/>
        <w:b/>
        <w:color w:val="666666"/>
        <w:sz w:val="16"/>
      </w:rPr>
      <w:t>33826778</w:t>
    </w:r>
  </w:p>
  <w:p w14:paraId="751EDF14" w14:textId="77777777" w:rsidR="005412F0" w:rsidRPr="00DC0490" w:rsidRDefault="005412F0">
    <w:pPr>
      <w:pStyle w:val="Footer"/>
      <w:jc w:val="right"/>
      <w:rPr>
        <w:rFonts w:ascii="Arial" w:hAnsi="Arial" w:cs="Arial"/>
        <w:sz w:val="16"/>
        <w:szCs w:val="16"/>
      </w:rPr>
    </w:pPr>
    <w:proofErr w:type="gramStart"/>
    <w:r w:rsidRPr="00DC0490">
      <w:rPr>
        <w:rFonts w:ascii="Arial" w:hAnsi="Arial" w:cs="Arial"/>
        <w:color w:val="4F81BD" w:themeColor="accent1"/>
        <w:sz w:val="16"/>
        <w:szCs w:val="16"/>
      </w:rPr>
      <w:t>page</w:t>
    </w:r>
    <w:proofErr w:type="gramEnd"/>
    <w:r w:rsidRPr="00DC0490">
      <w:rPr>
        <w:rFonts w:ascii="Arial" w:hAnsi="Arial" w:cs="Arial"/>
        <w:color w:val="4F81BD" w:themeColor="accent1"/>
        <w:sz w:val="16"/>
        <w:szCs w:val="16"/>
      </w:rPr>
      <w:t xml:space="preserve"> </w:t>
    </w:r>
    <w:r w:rsidRPr="00DC0490">
      <w:rPr>
        <w:rFonts w:ascii="Arial" w:hAnsi="Arial" w:cs="Arial"/>
        <w:color w:val="4F81BD" w:themeColor="accent1"/>
        <w:sz w:val="16"/>
        <w:szCs w:val="16"/>
      </w:rPr>
      <w:fldChar w:fldCharType="begin"/>
    </w:r>
    <w:r w:rsidRPr="00DC0490">
      <w:rPr>
        <w:rFonts w:ascii="Arial" w:hAnsi="Arial" w:cs="Arial"/>
        <w:color w:val="4F81BD" w:themeColor="accent1"/>
        <w:sz w:val="16"/>
        <w:szCs w:val="16"/>
      </w:rPr>
      <w:instrText xml:space="preserve"> PAGE  \* Arabic </w:instrText>
    </w:r>
    <w:r w:rsidRPr="00DC0490">
      <w:rPr>
        <w:rFonts w:ascii="Arial" w:hAnsi="Arial" w:cs="Arial"/>
        <w:color w:val="4F81BD" w:themeColor="accent1"/>
        <w:sz w:val="16"/>
        <w:szCs w:val="16"/>
      </w:rPr>
      <w:fldChar w:fldCharType="separate"/>
    </w:r>
    <w:r>
      <w:rPr>
        <w:rFonts w:ascii="Arial" w:hAnsi="Arial" w:cs="Arial"/>
        <w:noProof/>
        <w:color w:val="4F81BD" w:themeColor="accent1"/>
        <w:sz w:val="16"/>
        <w:szCs w:val="16"/>
      </w:rPr>
      <w:t>1</w:t>
    </w:r>
    <w:r w:rsidRPr="00DC0490">
      <w:rPr>
        <w:rFonts w:ascii="Arial" w:hAnsi="Arial" w:cs="Arial"/>
        <w:color w:val="4F81BD" w:themeColor="accent1"/>
        <w:sz w:val="16"/>
        <w:szCs w:val="16"/>
      </w:rPr>
      <w:fldChar w:fldCharType="end"/>
    </w:r>
  </w:p>
  <w:p w14:paraId="3C60F761" w14:textId="77777777" w:rsidR="005412F0" w:rsidRPr="0073331D" w:rsidRDefault="005412F0" w:rsidP="0073331D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CB27A" w14:textId="77777777" w:rsidR="00575F5F" w:rsidRDefault="00575F5F" w:rsidP="00F823E5">
      <w:pPr>
        <w:spacing w:after="0"/>
      </w:pPr>
      <w:r>
        <w:separator/>
      </w:r>
    </w:p>
  </w:footnote>
  <w:footnote w:type="continuationSeparator" w:id="0">
    <w:p w14:paraId="57F5F36A" w14:textId="77777777" w:rsidR="00575F5F" w:rsidRDefault="00575F5F" w:rsidP="00F823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3971" w14:textId="77777777" w:rsidR="005412F0" w:rsidRDefault="00541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3BF98" w14:textId="77777777" w:rsidR="005412F0" w:rsidRDefault="005412F0">
    <w:pPr>
      <w:pStyle w:val="Header"/>
      <w:rPr>
        <w:noProof/>
        <w:lang w:val="ro-RO" w:eastAsia="ro-RO"/>
      </w:rPr>
    </w:pPr>
    <w:bookmarkStart w:id="2" w:name="_MacBuGuideStaticData_789H"/>
    <w:bookmarkStart w:id="3" w:name="_MacBuGuideStaticData_1124H"/>
  </w:p>
  <w:tbl>
    <w:tblPr>
      <w:tblStyle w:val="TableGrid"/>
      <w:tblW w:w="9923" w:type="dxa"/>
      <w:tblInd w:w="-318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412F0" w14:paraId="5CF56E3A" w14:textId="77777777" w:rsidTr="00287E7F">
      <w:trPr>
        <w:trHeight w:val="454"/>
      </w:trPr>
      <w:tc>
        <w:tcPr>
          <w:tcW w:w="4605" w:type="dxa"/>
        </w:tcPr>
        <w:bookmarkEnd w:id="2"/>
        <w:bookmarkEnd w:id="3"/>
        <w:p w14:paraId="487A2B52" w14:textId="77777777" w:rsidR="005412F0" w:rsidRDefault="005412F0" w:rsidP="0013511F">
          <w:pPr>
            <w:pStyle w:val="Header"/>
            <w:ind w:left="-108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D1013F9" wp14:editId="6CDB27FF">
                <wp:simplePos x="0" y="0"/>
                <wp:positionH relativeFrom="page">
                  <wp:posOffset>-4445</wp:posOffset>
                </wp:positionH>
                <wp:positionV relativeFrom="page">
                  <wp:posOffset>635</wp:posOffset>
                </wp:positionV>
                <wp:extent cx="1026160" cy="215900"/>
                <wp:effectExtent l="0" t="0" r="2540" b="0"/>
                <wp:wrapTight wrapText="bothSides">
                  <wp:wrapPolygon edited="0">
                    <wp:start x="0" y="0"/>
                    <wp:lineTo x="0" y="19059"/>
                    <wp:lineTo x="12431" y="19059"/>
                    <wp:lineTo x="21252" y="17153"/>
                    <wp:lineTo x="21252" y="1906"/>
                    <wp:lineTo x="18847" y="0"/>
                    <wp:lineTo x="0" y="0"/>
                  </wp:wrapPolygon>
                </wp:wrapTight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5" w:type="dxa"/>
        </w:tcPr>
        <w:p w14:paraId="11DCC16F" w14:textId="77777777" w:rsidR="005412F0" w:rsidRPr="002577AD" w:rsidRDefault="005412F0" w:rsidP="0013511F">
          <w:pPr>
            <w:pStyle w:val="Header"/>
            <w:jc w:val="right"/>
          </w:pPr>
          <w:r>
            <w:rPr>
              <w:rFonts w:ascii="Century Gothic" w:hAnsi="Century Gothic"/>
              <w:spacing w:val="20"/>
            </w:rPr>
            <w:t>PRESS RELEASE</w:t>
          </w:r>
        </w:p>
      </w:tc>
    </w:tr>
  </w:tbl>
  <w:p w14:paraId="4E929C08" w14:textId="77777777" w:rsidR="005412F0" w:rsidRDefault="005412F0" w:rsidP="00135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A6EB" w14:textId="77777777" w:rsidR="005412F0" w:rsidRDefault="005412F0" w:rsidP="00D134CD">
    <w:pPr>
      <w:pStyle w:val="Header"/>
      <w:ind w:left="-850"/>
      <w:rPr>
        <w:rFonts w:ascii="Helvetica" w:hAnsi="Helvetica"/>
        <w:color w:val="666666"/>
        <w:sz w:val="12"/>
        <w:szCs w:val="12"/>
      </w:rPr>
    </w:pPr>
  </w:p>
  <w:p w14:paraId="6B673925" w14:textId="77777777" w:rsidR="005412F0" w:rsidRDefault="005412F0">
    <w:pPr>
      <w:pStyle w:val="Header"/>
      <w:rPr>
        <w:rFonts w:ascii="Helvetica" w:hAnsi="Helvetica"/>
        <w:color w:val="666666"/>
        <w:sz w:val="12"/>
        <w:szCs w:val="12"/>
      </w:rPr>
    </w:pPr>
  </w:p>
  <w:p w14:paraId="72082DFC" w14:textId="77777777" w:rsidR="005412F0" w:rsidRPr="00CC2BD9" w:rsidRDefault="005412F0" w:rsidP="0013511F">
    <w:pPr>
      <w:pStyle w:val="Header"/>
      <w:rPr>
        <w:rFonts w:ascii="Arial" w:hAnsi="Arial" w:cs="Arial"/>
        <w:color w:val="666666"/>
        <w:sz w:val="16"/>
        <w:szCs w:val="16"/>
        <w:lang w:val="en-US"/>
      </w:rPr>
    </w:pPr>
    <w:r w:rsidRPr="007A18E2">
      <w:rPr>
        <w:rFonts w:ascii="Arial" w:hAnsi="Arial" w:cs="Arial"/>
        <w:sz w:val="16"/>
        <w:szCs w:val="16"/>
        <w:lang w:val="en-US"/>
      </w:rPr>
      <w:t>Disclaimer: This is a free English translation of the PR issued in Romanian, only provided for the convenience of English readers</w:t>
    </w:r>
    <w:r w:rsidRPr="007A18E2">
      <w:rPr>
        <w:rFonts w:ascii="Arial" w:hAnsi="Arial" w:cs="Arial"/>
        <w:noProof/>
        <w:sz w:val="16"/>
        <w:szCs w:val="16"/>
        <w:lang w:val="en-US"/>
      </w:rPr>
      <w:t xml:space="preserve"> </w:t>
    </w:r>
  </w:p>
  <w:p w14:paraId="3ED90BF7" w14:textId="77777777" w:rsidR="005412F0" w:rsidRPr="00CC2BD9" w:rsidRDefault="005412F0">
    <w:pPr>
      <w:pStyle w:val="Header"/>
      <w:rPr>
        <w:rFonts w:ascii="Helvetica" w:hAnsi="Helvetica"/>
        <w:color w:val="666666"/>
        <w:sz w:val="12"/>
        <w:szCs w:val="12"/>
        <w:lang w:val="en-US"/>
      </w:rPr>
    </w:pPr>
  </w:p>
  <w:p w14:paraId="27ACE078" w14:textId="77777777" w:rsidR="005412F0" w:rsidRPr="00BC121D" w:rsidRDefault="005412F0" w:rsidP="00F266BC">
    <w:pPr>
      <w:pStyle w:val="Header"/>
      <w:rPr>
        <w:rFonts w:ascii="Helvetica" w:hAnsi="Helvetica"/>
        <w:color w:val="666666"/>
        <w:sz w:val="12"/>
        <w:szCs w:val="12"/>
      </w:rPr>
    </w:pPr>
    <w:r>
      <w:rPr>
        <w:noProof/>
        <w:lang w:val="en-US"/>
      </w:rPr>
      <w:drawing>
        <wp:inline distT="0" distB="0" distL="0" distR="0" wp14:anchorId="2E9A5B3F" wp14:editId="72AB523B">
          <wp:extent cx="1839790" cy="667483"/>
          <wp:effectExtent l="0" t="0" r="8255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790" cy="6674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2E2C17FD" w14:textId="77777777" w:rsidR="005412F0" w:rsidRPr="00C426E2" w:rsidRDefault="005412F0" w:rsidP="00D6054A">
    <w:pPr>
      <w:pStyle w:val="Header"/>
      <w:jc w:val="right"/>
      <w:rPr>
        <w:rFonts w:ascii="Helvetica" w:hAnsi="Helvetica"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re_coul.jpg" style="width:4.85pt;height:4.85pt;visibility:visible;mso-wrap-style:square" o:bullet="t">
        <v:imagedata r:id="rId1" o:title="carre_coul"/>
      </v:shape>
    </w:pict>
  </w:numPicBullet>
  <w:abstractNum w:abstractNumId="0" w15:restartNumberingAfterBreak="0">
    <w:nsid w:val="13CA55DA"/>
    <w:multiLevelType w:val="hybridMultilevel"/>
    <w:tmpl w:val="839C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001F"/>
    <w:multiLevelType w:val="hybridMultilevel"/>
    <w:tmpl w:val="DE90BB1C"/>
    <w:lvl w:ilvl="0" w:tplc="D004B1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127091B"/>
    <w:multiLevelType w:val="hybridMultilevel"/>
    <w:tmpl w:val="FE0A5C3A"/>
    <w:lvl w:ilvl="0" w:tplc="7E24B7BC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4BFA47D8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77242E26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C890B16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E03638C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CEFE882A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138C29B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B4BE6B2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619E6AC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3" w15:restartNumberingAfterBreak="0">
    <w:nsid w:val="5D2116F3"/>
    <w:multiLevelType w:val="hybridMultilevel"/>
    <w:tmpl w:val="982EA7D6"/>
    <w:lvl w:ilvl="0" w:tplc="9B5C95A0">
      <w:start w:val="95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60AB7"/>
    <w:multiLevelType w:val="hybridMultilevel"/>
    <w:tmpl w:val="022A8516"/>
    <w:lvl w:ilvl="0" w:tplc="42FC4694">
      <w:start w:val="95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drawingGridHorizontalSpacing w:val="120"/>
  <w:drawingGridVerticalSpacing w:val="278"/>
  <w:displayHorizontalDrawingGridEvery w:val="2"/>
  <w:characterSpacingControl w:val="doNotCompress"/>
  <w:hdrShapeDefaults>
    <o:shapedefaults v:ext="edit" spidmax="2049">
      <o:colormru v:ext="edit" colors="#0081c5,#008cc8,#048cbe,#0092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6"/>
    <w:docVar w:name="OpenInPublishingView" w:val="0"/>
  </w:docVars>
  <w:rsids>
    <w:rsidRoot w:val="00D047FE"/>
    <w:rsid w:val="00000CE5"/>
    <w:rsid w:val="000010BA"/>
    <w:rsid w:val="00003845"/>
    <w:rsid w:val="000054B3"/>
    <w:rsid w:val="00006DED"/>
    <w:rsid w:val="00006F4A"/>
    <w:rsid w:val="00007672"/>
    <w:rsid w:val="00007DBD"/>
    <w:rsid w:val="000103DD"/>
    <w:rsid w:val="0001194B"/>
    <w:rsid w:val="000124E6"/>
    <w:rsid w:val="000127EA"/>
    <w:rsid w:val="00012D4A"/>
    <w:rsid w:val="000135AE"/>
    <w:rsid w:val="00015CDC"/>
    <w:rsid w:val="00017773"/>
    <w:rsid w:val="00020CFF"/>
    <w:rsid w:val="0002141E"/>
    <w:rsid w:val="0002165E"/>
    <w:rsid w:val="00024390"/>
    <w:rsid w:val="000243A1"/>
    <w:rsid w:val="00024648"/>
    <w:rsid w:val="000253D5"/>
    <w:rsid w:val="00025776"/>
    <w:rsid w:val="000267A2"/>
    <w:rsid w:val="0002725A"/>
    <w:rsid w:val="00027453"/>
    <w:rsid w:val="00027719"/>
    <w:rsid w:val="00031B3D"/>
    <w:rsid w:val="00031D52"/>
    <w:rsid w:val="00032A8E"/>
    <w:rsid w:val="0003325B"/>
    <w:rsid w:val="00033F54"/>
    <w:rsid w:val="00034299"/>
    <w:rsid w:val="00035070"/>
    <w:rsid w:val="000352E0"/>
    <w:rsid w:val="0003611C"/>
    <w:rsid w:val="00037518"/>
    <w:rsid w:val="00037551"/>
    <w:rsid w:val="000375E1"/>
    <w:rsid w:val="00037B03"/>
    <w:rsid w:val="00040289"/>
    <w:rsid w:val="00041868"/>
    <w:rsid w:val="00041A7C"/>
    <w:rsid w:val="00042AB8"/>
    <w:rsid w:val="00042C53"/>
    <w:rsid w:val="000448FA"/>
    <w:rsid w:val="00045149"/>
    <w:rsid w:val="00045FE9"/>
    <w:rsid w:val="00046EAB"/>
    <w:rsid w:val="000478E0"/>
    <w:rsid w:val="000510FE"/>
    <w:rsid w:val="000524C6"/>
    <w:rsid w:val="0005308A"/>
    <w:rsid w:val="00053665"/>
    <w:rsid w:val="00054EDB"/>
    <w:rsid w:val="00055A51"/>
    <w:rsid w:val="00055DD3"/>
    <w:rsid w:val="00055E63"/>
    <w:rsid w:val="00056111"/>
    <w:rsid w:val="0005637E"/>
    <w:rsid w:val="00056936"/>
    <w:rsid w:val="000569CE"/>
    <w:rsid w:val="0005711F"/>
    <w:rsid w:val="000607C0"/>
    <w:rsid w:val="00061194"/>
    <w:rsid w:val="00061EE5"/>
    <w:rsid w:val="00062825"/>
    <w:rsid w:val="00062A87"/>
    <w:rsid w:val="00062F21"/>
    <w:rsid w:val="00063AF8"/>
    <w:rsid w:val="00064D04"/>
    <w:rsid w:val="00064E65"/>
    <w:rsid w:val="00065AAB"/>
    <w:rsid w:val="00066A75"/>
    <w:rsid w:val="00066C7E"/>
    <w:rsid w:val="00066CD7"/>
    <w:rsid w:val="00066DF3"/>
    <w:rsid w:val="00067439"/>
    <w:rsid w:val="00072E81"/>
    <w:rsid w:val="000735CB"/>
    <w:rsid w:val="00073812"/>
    <w:rsid w:val="0007553F"/>
    <w:rsid w:val="000762D9"/>
    <w:rsid w:val="0007632C"/>
    <w:rsid w:val="00076DBD"/>
    <w:rsid w:val="000778D9"/>
    <w:rsid w:val="00080070"/>
    <w:rsid w:val="00081A05"/>
    <w:rsid w:val="00081D8A"/>
    <w:rsid w:val="00081DAF"/>
    <w:rsid w:val="000828D8"/>
    <w:rsid w:val="00084E50"/>
    <w:rsid w:val="0008663E"/>
    <w:rsid w:val="00086A1A"/>
    <w:rsid w:val="00090391"/>
    <w:rsid w:val="00091554"/>
    <w:rsid w:val="00091AE6"/>
    <w:rsid w:val="00094F0D"/>
    <w:rsid w:val="00096362"/>
    <w:rsid w:val="00096BFE"/>
    <w:rsid w:val="00097049"/>
    <w:rsid w:val="000972AF"/>
    <w:rsid w:val="0009750D"/>
    <w:rsid w:val="00097EBE"/>
    <w:rsid w:val="000A0A6E"/>
    <w:rsid w:val="000A162A"/>
    <w:rsid w:val="000A1644"/>
    <w:rsid w:val="000A231A"/>
    <w:rsid w:val="000A3538"/>
    <w:rsid w:val="000A38F3"/>
    <w:rsid w:val="000A3EB6"/>
    <w:rsid w:val="000A432A"/>
    <w:rsid w:val="000A5143"/>
    <w:rsid w:val="000A76D2"/>
    <w:rsid w:val="000B0E06"/>
    <w:rsid w:val="000B1523"/>
    <w:rsid w:val="000B21D6"/>
    <w:rsid w:val="000B2E52"/>
    <w:rsid w:val="000B45C0"/>
    <w:rsid w:val="000B4A12"/>
    <w:rsid w:val="000B51F4"/>
    <w:rsid w:val="000B55C5"/>
    <w:rsid w:val="000B6421"/>
    <w:rsid w:val="000B64AF"/>
    <w:rsid w:val="000B6882"/>
    <w:rsid w:val="000B7C67"/>
    <w:rsid w:val="000B7D8A"/>
    <w:rsid w:val="000B7EB2"/>
    <w:rsid w:val="000C0401"/>
    <w:rsid w:val="000C2A48"/>
    <w:rsid w:val="000C2AC0"/>
    <w:rsid w:val="000C338B"/>
    <w:rsid w:val="000C44A4"/>
    <w:rsid w:val="000C4607"/>
    <w:rsid w:val="000C64D0"/>
    <w:rsid w:val="000C6909"/>
    <w:rsid w:val="000C7452"/>
    <w:rsid w:val="000C777D"/>
    <w:rsid w:val="000D0C75"/>
    <w:rsid w:val="000D452A"/>
    <w:rsid w:val="000D468F"/>
    <w:rsid w:val="000D4B3C"/>
    <w:rsid w:val="000D5362"/>
    <w:rsid w:val="000D55EF"/>
    <w:rsid w:val="000D5A0A"/>
    <w:rsid w:val="000D5CDD"/>
    <w:rsid w:val="000D5D40"/>
    <w:rsid w:val="000D5E63"/>
    <w:rsid w:val="000D6286"/>
    <w:rsid w:val="000D71B1"/>
    <w:rsid w:val="000E0910"/>
    <w:rsid w:val="000E167A"/>
    <w:rsid w:val="000E1920"/>
    <w:rsid w:val="000E3AC2"/>
    <w:rsid w:val="000E43AE"/>
    <w:rsid w:val="000E48F8"/>
    <w:rsid w:val="000E5CC1"/>
    <w:rsid w:val="000F0833"/>
    <w:rsid w:val="000F177E"/>
    <w:rsid w:val="000F3066"/>
    <w:rsid w:val="000F47BF"/>
    <w:rsid w:val="000F5858"/>
    <w:rsid w:val="000F6206"/>
    <w:rsid w:val="000F6A26"/>
    <w:rsid w:val="000F7698"/>
    <w:rsid w:val="000F7CEB"/>
    <w:rsid w:val="00100879"/>
    <w:rsid w:val="00101316"/>
    <w:rsid w:val="00102632"/>
    <w:rsid w:val="0010292A"/>
    <w:rsid w:val="00102AC3"/>
    <w:rsid w:val="00103206"/>
    <w:rsid w:val="00104541"/>
    <w:rsid w:val="00104BDF"/>
    <w:rsid w:val="00105200"/>
    <w:rsid w:val="0010526D"/>
    <w:rsid w:val="001052E5"/>
    <w:rsid w:val="001065CC"/>
    <w:rsid w:val="001104D9"/>
    <w:rsid w:val="00113727"/>
    <w:rsid w:val="001140D1"/>
    <w:rsid w:val="0011711B"/>
    <w:rsid w:val="00117F19"/>
    <w:rsid w:val="001205FC"/>
    <w:rsid w:val="00122B2C"/>
    <w:rsid w:val="00122DC0"/>
    <w:rsid w:val="00123D4E"/>
    <w:rsid w:val="00123EF0"/>
    <w:rsid w:val="001245E2"/>
    <w:rsid w:val="0012487A"/>
    <w:rsid w:val="00124A12"/>
    <w:rsid w:val="00124AD1"/>
    <w:rsid w:val="00125A11"/>
    <w:rsid w:val="00126ED6"/>
    <w:rsid w:val="001309F1"/>
    <w:rsid w:val="00130B50"/>
    <w:rsid w:val="0013103C"/>
    <w:rsid w:val="00131F7E"/>
    <w:rsid w:val="00133855"/>
    <w:rsid w:val="00133FB1"/>
    <w:rsid w:val="00134998"/>
    <w:rsid w:val="00135056"/>
    <w:rsid w:val="0013511F"/>
    <w:rsid w:val="0013552A"/>
    <w:rsid w:val="00136030"/>
    <w:rsid w:val="00136947"/>
    <w:rsid w:val="001372EC"/>
    <w:rsid w:val="00140272"/>
    <w:rsid w:val="0014068F"/>
    <w:rsid w:val="00141787"/>
    <w:rsid w:val="00142549"/>
    <w:rsid w:val="00142E0D"/>
    <w:rsid w:val="00144841"/>
    <w:rsid w:val="00144A41"/>
    <w:rsid w:val="00145208"/>
    <w:rsid w:val="00145559"/>
    <w:rsid w:val="0014689B"/>
    <w:rsid w:val="00147280"/>
    <w:rsid w:val="001503CF"/>
    <w:rsid w:val="00150FCC"/>
    <w:rsid w:val="00151123"/>
    <w:rsid w:val="00151C2F"/>
    <w:rsid w:val="00152101"/>
    <w:rsid w:val="00153E13"/>
    <w:rsid w:val="00155B8A"/>
    <w:rsid w:val="00156BEC"/>
    <w:rsid w:val="00157841"/>
    <w:rsid w:val="001613D4"/>
    <w:rsid w:val="00163470"/>
    <w:rsid w:val="00163891"/>
    <w:rsid w:val="00163EF9"/>
    <w:rsid w:val="00164BFB"/>
    <w:rsid w:val="00164C06"/>
    <w:rsid w:val="00166049"/>
    <w:rsid w:val="00170267"/>
    <w:rsid w:val="00170683"/>
    <w:rsid w:val="001706A0"/>
    <w:rsid w:val="00170F1B"/>
    <w:rsid w:val="00172E1B"/>
    <w:rsid w:val="00172F2D"/>
    <w:rsid w:val="001744B6"/>
    <w:rsid w:val="00174B9B"/>
    <w:rsid w:val="00175151"/>
    <w:rsid w:val="00177E25"/>
    <w:rsid w:val="001812FA"/>
    <w:rsid w:val="00182840"/>
    <w:rsid w:val="00184443"/>
    <w:rsid w:val="00184941"/>
    <w:rsid w:val="00184BFE"/>
    <w:rsid w:val="001863F9"/>
    <w:rsid w:val="001915A3"/>
    <w:rsid w:val="001919FD"/>
    <w:rsid w:val="00192B63"/>
    <w:rsid w:val="00192D86"/>
    <w:rsid w:val="00193D2B"/>
    <w:rsid w:val="00195193"/>
    <w:rsid w:val="00195FD8"/>
    <w:rsid w:val="00196620"/>
    <w:rsid w:val="001978B5"/>
    <w:rsid w:val="001A1642"/>
    <w:rsid w:val="001A1837"/>
    <w:rsid w:val="001A2A7D"/>
    <w:rsid w:val="001A2D4E"/>
    <w:rsid w:val="001A367E"/>
    <w:rsid w:val="001A4383"/>
    <w:rsid w:val="001A4B24"/>
    <w:rsid w:val="001A5693"/>
    <w:rsid w:val="001A5697"/>
    <w:rsid w:val="001A5FE7"/>
    <w:rsid w:val="001A68DE"/>
    <w:rsid w:val="001B05C7"/>
    <w:rsid w:val="001B18A1"/>
    <w:rsid w:val="001B207E"/>
    <w:rsid w:val="001B212B"/>
    <w:rsid w:val="001B510A"/>
    <w:rsid w:val="001B6BFD"/>
    <w:rsid w:val="001B77FF"/>
    <w:rsid w:val="001C00BF"/>
    <w:rsid w:val="001C39C2"/>
    <w:rsid w:val="001C43DA"/>
    <w:rsid w:val="001C706B"/>
    <w:rsid w:val="001C7DDA"/>
    <w:rsid w:val="001D0FF5"/>
    <w:rsid w:val="001D11FC"/>
    <w:rsid w:val="001D1685"/>
    <w:rsid w:val="001D1B8E"/>
    <w:rsid w:val="001D3052"/>
    <w:rsid w:val="001D35AC"/>
    <w:rsid w:val="001D39C4"/>
    <w:rsid w:val="001D5636"/>
    <w:rsid w:val="001D651A"/>
    <w:rsid w:val="001D6DAC"/>
    <w:rsid w:val="001E0268"/>
    <w:rsid w:val="001E1378"/>
    <w:rsid w:val="001E5B08"/>
    <w:rsid w:val="001E6615"/>
    <w:rsid w:val="001E73CB"/>
    <w:rsid w:val="001E753C"/>
    <w:rsid w:val="001E77DA"/>
    <w:rsid w:val="001E785C"/>
    <w:rsid w:val="001F127F"/>
    <w:rsid w:val="001F1287"/>
    <w:rsid w:val="001F18FB"/>
    <w:rsid w:val="001F3F53"/>
    <w:rsid w:val="001F42AB"/>
    <w:rsid w:val="001F48F0"/>
    <w:rsid w:val="001F4E63"/>
    <w:rsid w:val="001F5236"/>
    <w:rsid w:val="001F787E"/>
    <w:rsid w:val="00200C23"/>
    <w:rsid w:val="00201296"/>
    <w:rsid w:val="00201E56"/>
    <w:rsid w:val="002031E5"/>
    <w:rsid w:val="00203BE3"/>
    <w:rsid w:val="00204782"/>
    <w:rsid w:val="00206E2C"/>
    <w:rsid w:val="00207094"/>
    <w:rsid w:val="00207A83"/>
    <w:rsid w:val="00207BB3"/>
    <w:rsid w:val="00210E5B"/>
    <w:rsid w:val="00211399"/>
    <w:rsid w:val="002115F6"/>
    <w:rsid w:val="00211CDF"/>
    <w:rsid w:val="00212072"/>
    <w:rsid w:val="00212469"/>
    <w:rsid w:val="0021318F"/>
    <w:rsid w:val="00213A17"/>
    <w:rsid w:val="0021775B"/>
    <w:rsid w:val="00220AA9"/>
    <w:rsid w:val="00221438"/>
    <w:rsid w:val="00221815"/>
    <w:rsid w:val="00222921"/>
    <w:rsid w:val="002240E4"/>
    <w:rsid w:val="00224223"/>
    <w:rsid w:val="00224614"/>
    <w:rsid w:val="002255A2"/>
    <w:rsid w:val="0023050F"/>
    <w:rsid w:val="00235773"/>
    <w:rsid w:val="00235C42"/>
    <w:rsid w:val="00235E3B"/>
    <w:rsid w:val="00240234"/>
    <w:rsid w:val="0024465C"/>
    <w:rsid w:val="00244692"/>
    <w:rsid w:val="00244DFE"/>
    <w:rsid w:val="00245BE2"/>
    <w:rsid w:val="002472F0"/>
    <w:rsid w:val="0024790F"/>
    <w:rsid w:val="0025019D"/>
    <w:rsid w:val="0025060D"/>
    <w:rsid w:val="00251691"/>
    <w:rsid w:val="002527E2"/>
    <w:rsid w:val="002532F6"/>
    <w:rsid w:val="00254379"/>
    <w:rsid w:val="0025486B"/>
    <w:rsid w:val="00254BFC"/>
    <w:rsid w:val="002552DD"/>
    <w:rsid w:val="00257F34"/>
    <w:rsid w:val="00260771"/>
    <w:rsid w:val="00260F62"/>
    <w:rsid w:val="002614F5"/>
    <w:rsid w:val="00264754"/>
    <w:rsid w:val="00265802"/>
    <w:rsid w:val="00265C01"/>
    <w:rsid w:val="00265D30"/>
    <w:rsid w:val="002714C3"/>
    <w:rsid w:val="00273423"/>
    <w:rsid w:val="00275095"/>
    <w:rsid w:val="00275798"/>
    <w:rsid w:val="00275EBA"/>
    <w:rsid w:val="00277FA0"/>
    <w:rsid w:val="00280A6B"/>
    <w:rsid w:val="00280E57"/>
    <w:rsid w:val="00281192"/>
    <w:rsid w:val="00281934"/>
    <w:rsid w:val="0028253D"/>
    <w:rsid w:val="00282D90"/>
    <w:rsid w:val="00283B27"/>
    <w:rsid w:val="002848B1"/>
    <w:rsid w:val="00285AE4"/>
    <w:rsid w:val="00287D57"/>
    <w:rsid w:val="00287E7F"/>
    <w:rsid w:val="0029043A"/>
    <w:rsid w:val="002909E1"/>
    <w:rsid w:val="00290D8B"/>
    <w:rsid w:val="002913B4"/>
    <w:rsid w:val="00291880"/>
    <w:rsid w:val="00293230"/>
    <w:rsid w:val="00293823"/>
    <w:rsid w:val="00293AB6"/>
    <w:rsid w:val="00295211"/>
    <w:rsid w:val="00297AA3"/>
    <w:rsid w:val="002A35AA"/>
    <w:rsid w:val="002A3B00"/>
    <w:rsid w:val="002A3B49"/>
    <w:rsid w:val="002A3C7E"/>
    <w:rsid w:val="002A3E30"/>
    <w:rsid w:val="002A7CB3"/>
    <w:rsid w:val="002B0307"/>
    <w:rsid w:val="002B2485"/>
    <w:rsid w:val="002B285C"/>
    <w:rsid w:val="002B2A74"/>
    <w:rsid w:val="002B4169"/>
    <w:rsid w:val="002B526A"/>
    <w:rsid w:val="002B5A57"/>
    <w:rsid w:val="002B7AD5"/>
    <w:rsid w:val="002B7E17"/>
    <w:rsid w:val="002C00FC"/>
    <w:rsid w:val="002C0647"/>
    <w:rsid w:val="002C0B14"/>
    <w:rsid w:val="002C0C38"/>
    <w:rsid w:val="002C1AED"/>
    <w:rsid w:val="002C296D"/>
    <w:rsid w:val="002C3973"/>
    <w:rsid w:val="002C4838"/>
    <w:rsid w:val="002C53F3"/>
    <w:rsid w:val="002C5DED"/>
    <w:rsid w:val="002C5F7B"/>
    <w:rsid w:val="002C6D8A"/>
    <w:rsid w:val="002D0751"/>
    <w:rsid w:val="002D0903"/>
    <w:rsid w:val="002D1ADF"/>
    <w:rsid w:val="002D24A3"/>
    <w:rsid w:val="002D352E"/>
    <w:rsid w:val="002D3BC9"/>
    <w:rsid w:val="002D3ED0"/>
    <w:rsid w:val="002D4DCF"/>
    <w:rsid w:val="002D59DF"/>
    <w:rsid w:val="002D5FD7"/>
    <w:rsid w:val="002D610D"/>
    <w:rsid w:val="002D6601"/>
    <w:rsid w:val="002D6A1A"/>
    <w:rsid w:val="002D6CAF"/>
    <w:rsid w:val="002E004C"/>
    <w:rsid w:val="002E036A"/>
    <w:rsid w:val="002E0FEE"/>
    <w:rsid w:val="002E2784"/>
    <w:rsid w:val="002E2F6A"/>
    <w:rsid w:val="002E3189"/>
    <w:rsid w:val="002E72EF"/>
    <w:rsid w:val="002E7F2B"/>
    <w:rsid w:val="002F031B"/>
    <w:rsid w:val="002F2226"/>
    <w:rsid w:val="002F305E"/>
    <w:rsid w:val="002F35A2"/>
    <w:rsid w:val="002F431B"/>
    <w:rsid w:val="002F508A"/>
    <w:rsid w:val="002F56DB"/>
    <w:rsid w:val="002F5F28"/>
    <w:rsid w:val="0030043A"/>
    <w:rsid w:val="00300843"/>
    <w:rsid w:val="00300BC8"/>
    <w:rsid w:val="003033BB"/>
    <w:rsid w:val="00304060"/>
    <w:rsid w:val="00306BC1"/>
    <w:rsid w:val="00307970"/>
    <w:rsid w:val="00307F6B"/>
    <w:rsid w:val="00310018"/>
    <w:rsid w:val="003101C8"/>
    <w:rsid w:val="00311548"/>
    <w:rsid w:val="00313AA8"/>
    <w:rsid w:val="003142C5"/>
    <w:rsid w:val="0031753A"/>
    <w:rsid w:val="003216A0"/>
    <w:rsid w:val="00321C59"/>
    <w:rsid w:val="00322708"/>
    <w:rsid w:val="0032322F"/>
    <w:rsid w:val="00324635"/>
    <w:rsid w:val="00324BB3"/>
    <w:rsid w:val="00325D98"/>
    <w:rsid w:val="003306D3"/>
    <w:rsid w:val="00330B29"/>
    <w:rsid w:val="0033252B"/>
    <w:rsid w:val="00333B89"/>
    <w:rsid w:val="00337046"/>
    <w:rsid w:val="003374F8"/>
    <w:rsid w:val="00337CBD"/>
    <w:rsid w:val="0034049B"/>
    <w:rsid w:val="00340D98"/>
    <w:rsid w:val="003417A8"/>
    <w:rsid w:val="003435BF"/>
    <w:rsid w:val="00343FDD"/>
    <w:rsid w:val="00344592"/>
    <w:rsid w:val="003448FD"/>
    <w:rsid w:val="0034568A"/>
    <w:rsid w:val="00346709"/>
    <w:rsid w:val="00347E29"/>
    <w:rsid w:val="003500AF"/>
    <w:rsid w:val="003527D4"/>
    <w:rsid w:val="003540B1"/>
    <w:rsid w:val="00355373"/>
    <w:rsid w:val="00360783"/>
    <w:rsid w:val="00363D25"/>
    <w:rsid w:val="003644DE"/>
    <w:rsid w:val="00364D41"/>
    <w:rsid w:val="00364F36"/>
    <w:rsid w:val="00365C43"/>
    <w:rsid w:val="00366B00"/>
    <w:rsid w:val="0036733B"/>
    <w:rsid w:val="0037050A"/>
    <w:rsid w:val="00370B39"/>
    <w:rsid w:val="00371A91"/>
    <w:rsid w:val="00373468"/>
    <w:rsid w:val="00373DCD"/>
    <w:rsid w:val="00373E21"/>
    <w:rsid w:val="00374AC6"/>
    <w:rsid w:val="00374B2E"/>
    <w:rsid w:val="00375849"/>
    <w:rsid w:val="00375D34"/>
    <w:rsid w:val="00376210"/>
    <w:rsid w:val="0037684F"/>
    <w:rsid w:val="00380840"/>
    <w:rsid w:val="003810A9"/>
    <w:rsid w:val="0038119F"/>
    <w:rsid w:val="00381464"/>
    <w:rsid w:val="00384B1C"/>
    <w:rsid w:val="00384C57"/>
    <w:rsid w:val="00384E4D"/>
    <w:rsid w:val="0038758A"/>
    <w:rsid w:val="00387F09"/>
    <w:rsid w:val="0039111B"/>
    <w:rsid w:val="00392373"/>
    <w:rsid w:val="00392AB9"/>
    <w:rsid w:val="003932B6"/>
    <w:rsid w:val="0039395F"/>
    <w:rsid w:val="00394818"/>
    <w:rsid w:val="0039716C"/>
    <w:rsid w:val="00397589"/>
    <w:rsid w:val="00397B5D"/>
    <w:rsid w:val="003A14A1"/>
    <w:rsid w:val="003A14FB"/>
    <w:rsid w:val="003A19B7"/>
    <w:rsid w:val="003A3C18"/>
    <w:rsid w:val="003A4D92"/>
    <w:rsid w:val="003A5FDF"/>
    <w:rsid w:val="003A61A5"/>
    <w:rsid w:val="003A7D85"/>
    <w:rsid w:val="003B073A"/>
    <w:rsid w:val="003B100A"/>
    <w:rsid w:val="003B304E"/>
    <w:rsid w:val="003B3C41"/>
    <w:rsid w:val="003B3CAC"/>
    <w:rsid w:val="003B4808"/>
    <w:rsid w:val="003B538B"/>
    <w:rsid w:val="003B55B7"/>
    <w:rsid w:val="003B6211"/>
    <w:rsid w:val="003B6AF3"/>
    <w:rsid w:val="003C0842"/>
    <w:rsid w:val="003C100E"/>
    <w:rsid w:val="003C3007"/>
    <w:rsid w:val="003C4D02"/>
    <w:rsid w:val="003C4F55"/>
    <w:rsid w:val="003C5AD1"/>
    <w:rsid w:val="003C6AED"/>
    <w:rsid w:val="003C7218"/>
    <w:rsid w:val="003C7A63"/>
    <w:rsid w:val="003D0AA8"/>
    <w:rsid w:val="003D19F3"/>
    <w:rsid w:val="003D2100"/>
    <w:rsid w:val="003D21F6"/>
    <w:rsid w:val="003D4A26"/>
    <w:rsid w:val="003D54B4"/>
    <w:rsid w:val="003D5EAA"/>
    <w:rsid w:val="003D6BE2"/>
    <w:rsid w:val="003E0FB4"/>
    <w:rsid w:val="003E1757"/>
    <w:rsid w:val="003E178D"/>
    <w:rsid w:val="003E1BC2"/>
    <w:rsid w:val="003E2855"/>
    <w:rsid w:val="003E3C17"/>
    <w:rsid w:val="003E3E84"/>
    <w:rsid w:val="003E45B5"/>
    <w:rsid w:val="003E503F"/>
    <w:rsid w:val="003E5403"/>
    <w:rsid w:val="003E625A"/>
    <w:rsid w:val="003F1736"/>
    <w:rsid w:val="003F1989"/>
    <w:rsid w:val="003F1B0F"/>
    <w:rsid w:val="003F337C"/>
    <w:rsid w:val="003F53C7"/>
    <w:rsid w:val="003F55B6"/>
    <w:rsid w:val="003F65A8"/>
    <w:rsid w:val="003F7AAC"/>
    <w:rsid w:val="003F7E41"/>
    <w:rsid w:val="00400B2A"/>
    <w:rsid w:val="00405024"/>
    <w:rsid w:val="004058FB"/>
    <w:rsid w:val="004066AB"/>
    <w:rsid w:val="00406702"/>
    <w:rsid w:val="00406BA8"/>
    <w:rsid w:val="00406C5B"/>
    <w:rsid w:val="00406DE2"/>
    <w:rsid w:val="00407889"/>
    <w:rsid w:val="00407DD4"/>
    <w:rsid w:val="00410167"/>
    <w:rsid w:val="004101B1"/>
    <w:rsid w:val="004109A0"/>
    <w:rsid w:val="00410AA7"/>
    <w:rsid w:val="00411308"/>
    <w:rsid w:val="004161A6"/>
    <w:rsid w:val="00417935"/>
    <w:rsid w:val="00421916"/>
    <w:rsid w:val="00421D7E"/>
    <w:rsid w:val="0042252A"/>
    <w:rsid w:val="004235BB"/>
    <w:rsid w:val="00423E85"/>
    <w:rsid w:val="00423F2F"/>
    <w:rsid w:val="00424407"/>
    <w:rsid w:val="004261D4"/>
    <w:rsid w:val="00426494"/>
    <w:rsid w:val="00426645"/>
    <w:rsid w:val="00426B7A"/>
    <w:rsid w:val="00426B8B"/>
    <w:rsid w:val="004271C3"/>
    <w:rsid w:val="00427D0D"/>
    <w:rsid w:val="00430FD5"/>
    <w:rsid w:val="00433507"/>
    <w:rsid w:val="00433A2C"/>
    <w:rsid w:val="00433E38"/>
    <w:rsid w:val="00433F63"/>
    <w:rsid w:val="00434D09"/>
    <w:rsid w:val="0043584F"/>
    <w:rsid w:val="00436A26"/>
    <w:rsid w:val="00436D7A"/>
    <w:rsid w:val="00437234"/>
    <w:rsid w:val="004377C2"/>
    <w:rsid w:val="004379AC"/>
    <w:rsid w:val="00437DAC"/>
    <w:rsid w:val="00437EA2"/>
    <w:rsid w:val="00440DB0"/>
    <w:rsid w:val="00441AE6"/>
    <w:rsid w:val="00443158"/>
    <w:rsid w:val="00443C19"/>
    <w:rsid w:val="004452A5"/>
    <w:rsid w:val="004549F0"/>
    <w:rsid w:val="00456B33"/>
    <w:rsid w:val="00460FCC"/>
    <w:rsid w:val="00462B49"/>
    <w:rsid w:val="004639F8"/>
    <w:rsid w:val="0046629B"/>
    <w:rsid w:val="004663FE"/>
    <w:rsid w:val="00466648"/>
    <w:rsid w:val="00466A7B"/>
    <w:rsid w:val="00467506"/>
    <w:rsid w:val="004679FF"/>
    <w:rsid w:val="0047005C"/>
    <w:rsid w:val="004708E7"/>
    <w:rsid w:val="0047135F"/>
    <w:rsid w:val="004714FA"/>
    <w:rsid w:val="004737DA"/>
    <w:rsid w:val="00473989"/>
    <w:rsid w:val="00474218"/>
    <w:rsid w:val="004744F1"/>
    <w:rsid w:val="00474EE9"/>
    <w:rsid w:val="00475C34"/>
    <w:rsid w:val="00475CED"/>
    <w:rsid w:val="004768C9"/>
    <w:rsid w:val="00476B50"/>
    <w:rsid w:val="00476BCC"/>
    <w:rsid w:val="00476F76"/>
    <w:rsid w:val="00477B4F"/>
    <w:rsid w:val="00481D2B"/>
    <w:rsid w:val="00483B91"/>
    <w:rsid w:val="00484287"/>
    <w:rsid w:val="00484312"/>
    <w:rsid w:val="00484572"/>
    <w:rsid w:val="0048480E"/>
    <w:rsid w:val="00485415"/>
    <w:rsid w:val="0048556E"/>
    <w:rsid w:val="00485710"/>
    <w:rsid w:val="00486465"/>
    <w:rsid w:val="00486647"/>
    <w:rsid w:val="00487739"/>
    <w:rsid w:val="004877B1"/>
    <w:rsid w:val="00490EAF"/>
    <w:rsid w:val="00491B83"/>
    <w:rsid w:val="0049211B"/>
    <w:rsid w:val="00492B04"/>
    <w:rsid w:val="0049315D"/>
    <w:rsid w:val="00495B21"/>
    <w:rsid w:val="0049663D"/>
    <w:rsid w:val="00496DCE"/>
    <w:rsid w:val="00496DE1"/>
    <w:rsid w:val="004971DA"/>
    <w:rsid w:val="004A242D"/>
    <w:rsid w:val="004A268F"/>
    <w:rsid w:val="004A28D6"/>
    <w:rsid w:val="004A2DC2"/>
    <w:rsid w:val="004A4498"/>
    <w:rsid w:val="004A44D9"/>
    <w:rsid w:val="004A4FAE"/>
    <w:rsid w:val="004A5631"/>
    <w:rsid w:val="004A640D"/>
    <w:rsid w:val="004A7770"/>
    <w:rsid w:val="004B0F0A"/>
    <w:rsid w:val="004B18C0"/>
    <w:rsid w:val="004B2935"/>
    <w:rsid w:val="004B2BDF"/>
    <w:rsid w:val="004B331B"/>
    <w:rsid w:val="004B35F3"/>
    <w:rsid w:val="004B3E03"/>
    <w:rsid w:val="004B668B"/>
    <w:rsid w:val="004B68C5"/>
    <w:rsid w:val="004B728F"/>
    <w:rsid w:val="004B7354"/>
    <w:rsid w:val="004B7773"/>
    <w:rsid w:val="004B7EEA"/>
    <w:rsid w:val="004C0111"/>
    <w:rsid w:val="004C1953"/>
    <w:rsid w:val="004C2374"/>
    <w:rsid w:val="004C23B3"/>
    <w:rsid w:val="004C39CE"/>
    <w:rsid w:val="004C3BD1"/>
    <w:rsid w:val="004C4498"/>
    <w:rsid w:val="004C4911"/>
    <w:rsid w:val="004C59C9"/>
    <w:rsid w:val="004C5EF6"/>
    <w:rsid w:val="004D069D"/>
    <w:rsid w:val="004D0998"/>
    <w:rsid w:val="004D0B17"/>
    <w:rsid w:val="004D141A"/>
    <w:rsid w:val="004D28C2"/>
    <w:rsid w:val="004D35D8"/>
    <w:rsid w:val="004D4122"/>
    <w:rsid w:val="004D4481"/>
    <w:rsid w:val="004D6846"/>
    <w:rsid w:val="004D71F6"/>
    <w:rsid w:val="004E06DF"/>
    <w:rsid w:val="004E117C"/>
    <w:rsid w:val="004E11DA"/>
    <w:rsid w:val="004E1341"/>
    <w:rsid w:val="004E17AC"/>
    <w:rsid w:val="004E28E3"/>
    <w:rsid w:val="004E292A"/>
    <w:rsid w:val="004E3D43"/>
    <w:rsid w:val="004E4713"/>
    <w:rsid w:val="004E52FA"/>
    <w:rsid w:val="004E6857"/>
    <w:rsid w:val="004E6A79"/>
    <w:rsid w:val="004E6DD6"/>
    <w:rsid w:val="004F1007"/>
    <w:rsid w:val="004F198D"/>
    <w:rsid w:val="004F2292"/>
    <w:rsid w:val="004F25BA"/>
    <w:rsid w:val="004F2F29"/>
    <w:rsid w:val="004F5FA6"/>
    <w:rsid w:val="004F6478"/>
    <w:rsid w:val="004F7FF4"/>
    <w:rsid w:val="00500573"/>
    <w:rsid w:val="005008B5"/>
    <w:rsid w:val="005015D7"/>
    <w:rsid w:val="0050271E"/>
    <w:rsid w:val="00502A48"/>
    <w:rsid w:val="00503557"/>
    <w:rsid w:val="00503721"/>
    <w:rsid w:val="00504861"/>
    <w:rsid w:val="00505B6C"/>
    <w:rsid w:val="00506CBA"/>
    <w:rsid w:val="00506DF9"/>
    <w:rsid w:val="00507AC5"/>
    <w:rsid w:val="00510E06"/>
    <w:rsid w:val="00511D7A"/>
    <w:rsid w:val="0051224F"/>
    <w:rsid w:val="00512D29"/>
    <w:rsid w:val="0051305F"/>
    <w:rsid w:val="00513AD7"/>
    <w:rsid w:val="00514844"/>
    <w:rsid w:val="00515133"/>
    <w:rsid w:val="005154CC"/>
    <w:rsid w:val="0051718F"/>
    <w:rsid w:val="005177D5"/>
    <w:rsid w:val="00517DC8"/>
    <w:rsid w:val="00521799"/>
    <w:rsid w:val="00521C16"/>
    <w:rsid w:val="00522A0C"/>
    <w:rsid w:val="00524F1C"/>
    <w:rsid w:val="00526106"/>
    <w:rsid w:val="00526DBB"/>
    <w:rsid w:val="00527361"/>
    <w:rsid w:val="0053037D"/>
    <w:rsid w:val="00532279"/>
    <w:rsid w:val="00532EEA"/>
    <w:rsid w:val="00533112"/>
    <w:rsid w:val="00537745"/>
    <w:rsid w:val="005411BA"/>
    <w:rsid w:val="005412F0"/>
    <w:rsid w:val="005428CF"/>
    <w:rsid w:val="00542D10"/>
    <w:rsid w:val="005432EB"/>
    <w:rsid w:val="00543E17"/>
    <w:rsid w:val="00544446"/>
    <w:rsid w:val="005446FA"/>
    <w:rsid w:val="0054472D"/>
    <w:rsid w:val="005464C4"/>
    <w:rsid w:val="005522A3"/>
    <w:rsid w:val="00554286"/>
    <w:rsid w:val="00554720"/>
    <w:rsid w:val="00554E41"/>
    <w:rsid w:val="00555DE7"/>
    <w:rsid w:val="00560665"/>
    <w:rsid w:val="00561657"/>
    <w:rsid w:val="005623AF"/>
    <w:rsid w:val="00562D36"/>
    <w:rsid w:val="00563736"/>
    <w:rsid w:val="00566D33"/>
    <w:rsid w:val="00567841"/>
    <w:rsid w:val="00567A6E"/>
    <w:rsid w:val="005718FB"/>
    <w:rsid w:val="005726AB"/>
    <w:rsid w:val="00572FAB"/>
    <w:rsid w:val="00573D5D"/>
    <w:rsid w:val="00574A86"/>
    <w:rsid w:val="00575213"/>
    <w:rsid w:val="00575F5F"/>
    <w:rsid w:val="005778C4"/>
    <w:rsid w:val="00577BE9"/>
    <w:rsid w:val="0058235F"/>
    <w:rsid w:val="0058347E"/>
    <w:rsid w:val="00583850"/>
    <w:rsid w:val="00583E49"/>
    <w:rsid w:val="00584B9E"/>
    <w:rsid w:val="00587891"/>
    <w:rsid w:val="00587C93"/>
    <w:rsid w:val="005905BF"/>
    <w:rsid w:val="00590D9C"/>
    <w:rsid w:val="0059109F"/>
    <w:rsid w:val="00591626"/>
    <w:rsid w:val="00591C9D"/>
    <w:rsid w:val="005927D9"/>
    <w:rsid w:val="00594F26"/>
    <w:rsid w:val="0059556F"/>
    <w:rsid w:val="005962A6"/>
    <w:rsid w:val="005A0831"/>
    <w:rsid w:val="005A1740"/>
    <w:rsid w:val="005A654C"/>
    <w:rsid w:val="005A6FF0"/>
    <w:rsid w:val="005A70EC"/>
    <w:rsid w:val="005B00CF"/>
    <w:rsid w:val="005B289C"/>
    <w:rsid w:val="005B3063"/>
    <w:rsid w:val="005B490C"/>
    <w:rsid w:val="005B56CB"/>
    <w:rsid w:val="005B595C"/>
    <w:rsid w:val="005B6A2F"/>
    <w:rsid w:val="005B7181"/>
    <w:rsid w:val="005C03F3"/>
    <w:rsid w:val="005C11AE"/>
    <w:rsid w:val="005C1740"/>
    <w:rsid w:val="005C39D1"/>
    <w:rsid w:val="005C514F"/>
    <w:rsid w:val="005C68F1"/>
    <w:rsid w:val="005C6F39"/>
    <w:rsid w:val="005D0046"/>
    <w:rsid w:val="005D067B"/>
    <w:rsid w:val="005D1D52"/>
    <w:rsid w:val="005D2DA8"/>
    <w:rsid w:val="005D6C62"/>
    <w:rsid w:val="005D737C"/>
    <w:rsid w:val="005D7703"/>
    <w:rsid w:val="005E09CB"/>
    <w:rsid w:val="005E1E28"/>
    <w:rsid w:val="005E21BC"/>
    <w:rsid w:val="005E2763"/>
    <w:rsid w:val="005E3C77"/>
    <w:rsid w:val="005E5A55"/>
    <w:rsid w:val="005E5B56"/>
    <w:rsid w:val="005F1527"/>
    <w:rsid w:val="005F1744"/>
    <w:rsid w:val="005F32A8"/>
    <w:rsid w:val="005F35F4"/>
    <w:rsid w:val="005F4F81"/>
    <w:rsid w:val="00600138"/>
    <w:rsid w:val="00600917"/>
    <w:rsid w:val="006010B8"/>
    <w:rsid w:val="00602434"/>
    <w:rsid w:val="0060522E"/>
    <w:rsid w:val="0060655C"/>
    <w:rsid w:val="00611E46"/>
    <w:rsid w:val="00612E58"/>
    <w:rsid w:val="00613053"/>
    <w:rsid w:val="00613C13"/>
    <w:rsid w:val="00614507"/>
    <w:rsid w:val="00615F08"/>
    <w:rsid w:val="00616787"/>
    <w:rsid w:val="006167E7"/>
    <w:rsid w:val="006169F3"/>
    <w:rsid w:val="00616DDC"/>
    <w:rsid w:val="0061719B"/>
    <w:rsid w:val="00617663"/>
    <w:rsid w:val="00617980"/>
    <w:rsid w:val="00620956"/>
    <w:rsid w:val="00620E8D"/>
    <w:rsid w:val="00622A26"/>
    <w:rsid w:val="00622FA4"/>
    <w:rsid w:val="0062513D"/>
    <w:rsid w:val="00625701"/>
    <w:rsid w:val="00626734"/>
    <w:rsid w:val="00627B31"/>
    <w:rsid w:val="00627BF8"/>
    <w:rsid w:val="00627EDB"/>
    <w:rsid w:val="006316C7"/>
    <w:rsid w:val="006329A8"/>
    <w:rsid w:val="00634AF7"/>
    <w:rsid w:val="00635030"/>
    <w:rsid w:val="0063506E"/>
    <w:rsid w:val="0063562C"/>
    <w:rsid w:val="006360FC"/>
    <w:rsid w:val="006372DE"/>
    <w:rsid w:val="006406BE"/>
    <w:rsid w:val="00642A87"/>
    <w:rsid w:val="00646065"/>
    <w:rsid w:val="006460F3"/>
    <w:rsid w:val="006465BD"/>
    <w:rsid w:val="0064669C"/>
    <w:rsid w:val="0064713C"/>
    <w:rsid w:val="006508AA"/>
    <w:rsid w:val="00651D5C"/>
    <w:rsid w:val="0065245C"/>
    <w:rsid w:val="00652657"/>
    <w:rsid w:val="00652D27"/>
    <w:rsid w:val="00653770"/>
    <w:rsid w:val="0065632D"/>
    <w:rsid w:val="00660E61"/>
    <w:rsid w:val="00662689"/>
    <w:rsid w:val="00662782"/>
    <w:rsid w:val="0066371E"/>
    <w:rsid w:val="0066377C"/>
    <w:rsid w:val="00663F52"/>
    <w:rsid w:val="00666749"/>
    <w:rsid w:val="006671C6"/>
    <w:rsid w:val="006673DF"/>
    <w:rsid w:val="0067074C"/>
    <w:rsid w:val="00670EB9"/>
    <w:rsid w:val="006727E5"/>
    <w:rsid w:val="00673A26"/>
    <w:rsid w:val="00676AD9"/>
    <w:rsid w:val="00680BFC"/>
    <w:rsid w:val="006818C3"/>
    <w:rsid w:val="00682309"/>
    <w:rsid w:val="006827AE"/>
    <w:rsid w:val="00682BB8"/>
    <w:rsid w:val="00685B87"/>
    <w:rsid w:val="0068680D"/>
    <w:rsid w:val="006877D1"/>
    <w:rsid w:val="006926C5"/>
    <w:rsid w:val="00693DF1"/>
    <w:rsid w:val="00697784"/>
    <w:rsid w:val="00697EA7"/>
    <w:rsid w:val="006A122C"/>
    <w:rsid w:val="006A3559"/>
    <w:rsid w:val="006A37D9"/>
    <w:rsid w:val="006A50FF"/>
    <w:rsid w:val="006A7C1A"/>
    <w:rsid w:val="006B39A1"/>
    <w:rsid w:val="006B7ACE"/>
    <w:rsid w:val="006C166F"/>
    <w:rsid w:val="006C2E65"/>
    <w:rsid w:val="006C32E7"/>
    <w:rsid w:val="006C4FC1"/>
    <w:rsid w:val="006C7A36"/>
    <w:rsid w:val="006C7C9E"/>
    <w:rsid w:val="006D0167"/>
    <w:rsid w:val="006D0A4C"/>
    <w:rsid w:val="006D157F"/>
    <w:rsid w:val="006D1F92"/>
    <w:rsid w:val="006D2857"/>
    <w:rsid w:val="006D3633"/>
    <w:rsid w:val="006D3BFA"/>
    <w:rsid w:val="006D5556"/>
    <w:rsid w:val="006D6372"/>
    <w:rsid w:val="006D79BC"/>
    <w:rsid w:val="006E26E2"/>
    <w:rsid w:val="006E362C"/>
    <w:rsid w:val="006E4AA3"/>
    <w:rsid w:val="006E5015"/>
    <w:rsid w:val="006E52DB"/>
    <w:rsid w:val="006E5385"/>
    <w:rsid w:val="006E6501"/>
    <w:rsid w:val="006E7BE0"/>
    <w:rsid w:val="006F082F"/>
    <w:rsid w:val="006F0EB9"/>
    <w:rsid w:val="006F361F"/>
    <w:rsid w:val="006F371A"/>
    <w:rsid w:val="006F3CD8"/>
    <w:rsid w:val="006F4CDD"/>
    <w:rsid w:val="006F7391"/>
    <w:rsid w:val="006F7E11"/>
    <w:rsid w:val="007014D1"/>
    <w:rsid w:val="0070154F"/>
    <w:rsid w:val="00702A99"/>
    <w:rsid w:val="0070311B"/>
    <w:rsid w:val="00703E98"/>
    <w:rsid w:val="00704325"/>
    <w:rsid w:val="00704C0C"/>
    <w:rsid w:val="00704F8C"/>
    <w:rsid w:val="00705374"/>
    <w:rsid w:val="0070752B"/>
    <w:rsid w:val="00711035"/>
    <w:rsid w:val="00712B8E"/>
    <w:rsid w:val="00712F18"/>
    <w:rsid w:val="00713B0C"/>
    <w:rsid w:val="0071494A"/>
    <w:rsid w:val="0071666B"/>
    <w:rsid w:val="00721212"/>
    <w:rsid w:val="00721BDC"/>
    <w:rsid w:val="00723103"/>
    <w:rsid w:val="00723C2C"/>
    <w:rsid w:val="0072602E"/>
    <w:rsid w:val="007278A5"/>
    <w:rsid w:val="00731099"/>
    <w:rsid w:val="00732779"/>
    <w:rsid w:val="00732F72"/>
    <w:rsid w:val="00733099"/>
    <w:rsid w:val="0073331D"/>
    <w:rsid w:val="00733F70"/>
    <w:rsid w:val="00734DDB"/>
    <w:rsid w:val="00737992"/>
    <w:rsid w:val="00737BFC"/>
    <w:rsid w:val="00740C68"/>
    <w:rsid w:val="007428CF"/>
    <w:rsid w:val="00742A11"/>
    <w:rsid w:val="007439CE"/>
    <w:rsid w:val="00744318"/>
    <w:rsid w:val="007446F2"/>
    <w:rsid w:val="00744739"/>
    <w:rsid w:val="00746653"/>
    <w:rsid w:val="007469ED"/>
    <w:rsid w:val="0074751B"/>
    <w:rsid w:val="007503C8"/>
    <w:rsid w:val="007513C2"/>
    <w:rsid w:val="00751701"/>
    <w:rsid w:val="007517A8"/>
    <w:rsid w:val="00752034"/>
    <w:rsid w:val="007522E0"/>
    <w:rsid w:val="007545B0"/>
    <w:rsid w:val="00756904"/>
    <w:rsid w:val="0075789D"/>
    <w:rsid w:val="00757AB4"/>
    <w:rsid w:val="00762FEE"/>
    <w:rsid w:val="007635E4"/>
    <w:rsid w:val="007637C3"/>
    <w:rsid w:val="007658DD"/>
    <w:rsid w:val="00766B72"/>
    <w:rsid w:val="007670EF"/>
    <w:rsid w:val="00767BB0"/>
    <w:rsid w:val="00770711"/>
    <w:rsid w:val="007711DC"/>
    <w:rsid w:val="007725ED"/>
    <w:rsid w:val="00774C7E"/>
    <w:rsid w:val="007757A0"/>
    <w:rsid w:val="00776073"/>
    <w:rsid w:val="00780771"/>
    <w:rsid w:val="00781495"/>
    <w:rsid w:val="00782BBF"/>
    <w:rsid w:val="007832ED"/>
    <w:rsid w:val="00783479"/>
    <w:rsid w:val="00783DD0"/>
    <w:rsid w:val="00783F10"/>
    <w:rsid w:val="00784F5C"/>
    <w:rsid w:val="007850F6"/>
    <w:rsid w:val="00785C35"/>
    <w:rsid w:val="00786AA3"/>
    <w:rsid w:val="00790E1F"/>
    <w:rsid w:val="00790E7F"/>
    <w:rsid w:val="00791093"/>
    <w:rsid w:val="00791C12"/>
    <w:rsid w:val="00792EEF"/>
    <w:rsid w:val="00793114"/>
    <w:rsid w:val="00794161"/>
    <w:rsid w:val="007942BD"/>
    <w:rsid w:val="00794475"/>
    <w:rsid w:val="007949AC"/>
    <w:rsid w:val="00795FCE"/>
    <w:rsid w:val="007A1516"/>
    <w:rsid w:val="007A18E2"/>
    <w:rsid w:val="007A24C6"/>
    <w:rsid w:val="007A26E4"/>
    <w:rsid w:val="007A27AB"/>
    <w:rsid w:val="007A315F"/>
    <w:rsid w:val="007A3439"/>
    <w:rsid w:val="007A4ED3"/>
    <w:rsid w:val="007A5030"/>
    <w:rsid w:val="007A51F5"/>
    <w:rsid w:val="007A6309"/>
    <w:rsid w:val="007A6C9E"/>
    <w:rsid w:val="007B06C6"/>
    <w:rsid w:val="007B2096"/>
    <w:rsid w:val="007B29FF"/>
    <w:rsid w:val="007B3333"/>
    <w:rsid w:val="007B4155"/>
    <w:rsid w:val="007B5E24"/>
    <w:rsid w:val="007C0D22"/>
    <w:rsid w:val="007C1511"/>
    <w:rsid w:val="007C205B"/>
    <w:rsid w:val="007C206B"/>
    <w:rsid w:val="007C2DEC"/>
    <w:rsid w:val="007C3AA2"/>
    <w:rsid w:val="007C3EF2"/>
    <w:rsid w:val="007C61AF"/>
    <w:rsid w:val="007D1127"/>
    <w:rsid w:val="007D1650"/>
    <w:rsid w:val="007D1B7F"/>
    <w:rsid w:val="007D2275"/>
    <w:rsid w:val="007D261C"/>
    <w:rsid w:val="007D559E"/>
    <w:rsid w:val="007D5826"/>
    <w:rsid w:val="007D5989"/>
    <w:rsid w:val="007D7C6A"/>
    <w:rsid w:val="007E0433"/>
    <w:rsid w:val="007E0C82"/>
    <w:rsid w:val="007E0D94"/>
    <w:rsid w:val="007E11DA"/>
    <w:rsid w:val="007E18B8"/>
    <w:rsid w:val="007E1B11"/>
    <w:rsid w:val="007E1E47"/>
    <w:rsid w:val="007E3111"/>
    <w:rsid w:val="007E59E1"/>
    <w:rsid w:val="007E5D09"/>
    <w:rsid w:val="007E5DB4"/>
    <w:rsid w:val="007E5FED"/>
    <w:rsid w:val="007E6E55"/>
    <w:rsid w:val="007F17F0"/>
    <w:rsid w:val="007F4F1F"/>
    <w:rsid w:val="007F5A41"/>
    <w:rsid w:val="007F757B"/>
    <w:rsid w:val="007F79E0"/>
    <w:rsid w:val="00800DA4"/>
    <w:rsid w:val="0080196C"/>
    <w:rsid w:val="00802114"/>
    <w:rsid w:val="00803C5B"/>
    <w:rsid w:val="00803E74"/>
    <w:rsid w:val="00803E9B"/>
    <w:rsid w:val="008042A9"/>
    <w:rsid w:val="008046F4"/>
    <w:rsid w:val="00805132"/>
    <w:rsid w:val="00805A96"/>
    <w:rsid w:val="00805E0B"/>
    <w:rsid w:val="0081019A"/>
    <w:rsid w:val="0081021E"/>
    <w:rsid w:val="008107B1"/>
    <w:rsid w:val="00812151"/>
    <w:rsid w:val="00814475"/>
    <w:rsid w:val="00814604"/>
    <w:rsid w:val="00814701"/>
    <w:rsid w:val="00814873"/>
    <w:rsid w:val="008148F4"/>
    <w:rsid w:val="00814A7E"/>
    <w:rsid w:val="008163EF"/>
    <w:rsid w:val="00817DB2"/>
    <w:rsid w:val="00817E30"/>
    <w:rsid w:val="00822D5B"/>
    <w:rsid w:val="008230FC"/>
    <w:rsid w:val="0082598A"/>
    <w:rsid w:val="008275EB"/>
    <w:rsid w:val="0082785D"/>
    <w:rsid w:val="00831F9A"/>
    <w:rsid w:val="008324CD"/>
    <w:rsid w:val="00834A15"/>
    <w:rsid w:val="00836BAC"/>
    <w:rsid w:val="00837741"/>
    <w:rsid w:val="00841C0A"/>
    <w:rsid w:val="008424DE"/>
    <w:rsid w:val="00843747"/>
    <w:rsid w:val="008447E7"/>
    <w:rsid w:val="008475BB"/>
    <w:rsid w:val="00847BC9"/>
    <w:rsid w:val="008515E3"/>
    <w:rsid w:val="00851777"/>
    <w:rsid w:val="008521DB"/>
    <w:rsid w:val="008547E0"/>
    <w:rsid w:val="008550AA"/>
    <w:rsid w:val="008550B6"/>
    <w:rsid w:val="00855660"/>
    <w:rsid w:val="00855E24"/>
    <w:rsid w:val="00856D54"/>
    <w:rsid w:val="00860F98"/>
    <w:rsid w:val="008621E5"/>
    <w:rsid w:val="008641D5"/>
    <w:rsid w:val="0086502D"/>
    <w:rsid w:val="008707A9"/>
    <w:rsid w:val="00870F52"/>
    <w:rsid w:val="0087184E"/>
    <w:rsid w:val="008719FD"/>
    <w:rsid w:val="00871A75"/>
    <w:rsid w:val="00871C06"/>
    <w:rsid w:val="008728F4"/>
    <w:rsid w:val="0087364B"/>
    <w:rsid w:val="008755A5"/>
    <w:rsid w:val="00875612"/>
    <w:rsid w:val="008760E5"/>
    <w:rsid w:val="0087636A"/>
    <w:rsid w:val="00876412"/>
    <w:rsid w:val="00880259"/>
    <w:rsid w:val="008803C7"/>
    <w:rsid w:val="00880621"/>
    <w:rsid w:val="008810BF"/>
    <w:rsid w:val="008814D9"/>
    <w:rsid w:val="00881C53"/>
    <w:rsid w:val="008820CC"/>
    <w:rsid w:val="0088313C"/>
    <w:rsid w:val="008831DD"/>
    <w:rsid w:val="00883705"/>
    <w:rsid w:val="00884024"/>
    <w:rsid w:val="008847AF"/>
    <w:rsid w:val="008858C7"/>
    <w:rsid w:val="008859FD"/>
    <w:rsid w:val="0088637B"/>
    <w:rsid w:val="00887A1A"/>
    <w:rsid w:val="008902EE"/>
    <w:rsid w:val="008933A2"/>
    <w:rsid w:val="00895D99"/>
    <w:rsid w:val="00896AFC"/>
    <w:rsid w:val="008974F2"/>
    <w:rsid w:val="008A1E45"/>
    <w:rsid w:val="008A2DF0"/>
    <w:rsid w:val="008A32A8"/>
    <w:rsid w:val="008A3B51"/>
    <w:rsid w:val="008A3BAD"/>
    <w:rsid w:val="008A3BF6"/>
    <w:rsid w:val="008A3D3D"/>
    <w:rsid w:val="008A4AF6"/>
    <w:rsid w:val="008A4BFA"/>
    <w:rsid w:val="008A4CE3"/>
    <w:rsid w:val="008A54D3"/>
    <w:rsid w:val="008A5E9C"/>
    <w:rsid w:val="008A6353"/>
    <w:rsid w:val="008A66A6"/>
    <w:rsid w:val="008A6B75"/>
    <w:rsid w:val="008A6C14"/>
    <w:rsid w:val="008A7101"/>
    <w:rsid w:val="008A7C1D"/>
    <w:rsid w:val="008B0B0C"/>
    <w:rsid w:val="008B1472"/>
    <w:rsid w:val="008B249E"/>
    <w:rsid w:val="008B342D"/>
    <w:rsid w:val="008B4238"/>
    <w:rsid w:val="008B4D65"/>
    <w:rsid w:val="008B53A2"/>
    <w:rsid w:val="008B5772"/>
    <w:rsid w:val="008B6736"/>
    <w:rsid w:val="008B6813"/>
    <w:rsid w:val="008B7E11"/>
    <w:rsid w:val="008C00F1"/>
    <w:rsid w:val="008C042B"/>
    <w:rsid w:val="008C1208"/>
    <w:rsid w:val="008C1BDA"/>
    <w:rsid w:val="008C3569"/>
    <w:rsid w:val="008C3B02"/>
    <w:rsid w:val="008C3CDA"/>
    <w:rsid w:val="008C49FC"/>
    <w:rsid w:val="008C4CDA"/>
    <w:rsid w:val="008C58BB"/>
    <w:rsid w:val="008C685D"/>
    <w:rsid w:val="008C70B3"/>
    <w:rsid w:val="008D0AD1"/>
    <w:rsid w:val="008D0F06"/>
    <w:rsid w:val="008D126A"/>
    <w:rsid w:val="008D23A0"/>
    <w:rsid w:val="008D29D6"/>
    <w:rsid w:val="008D4248"/>
    <w:rsid w:val="008D72BC"/>
    <w:rsid w:val="008E17A2"/>
    <w:rsid w:val="008E4AF7"/>
    <w:rsid w:val="008E563C"/>
    <w:rsid w:val="008E60A4"/>
    <w:rsid w:val="008E6531"/>
    <w:rsid w:val="008E700E"/>
    <w:rsid w:val="008F0E52"/>
    <w:rsid w:val="008F1642"/>
    <w:rsid w:val="008F1E8A"/>
    <w:rsid w:val="008F24E6"/>
    <w:rsid w:val="008F2799"/>
    <w:rsid w:val="008F37B8"/>
    <w:rsid w:val="008F6C74"/>
    <w:rsid w:val="008F7902"/>
    <w:rsid w:val="00900243"/>
    <w:rsid w:val="009006C0"/>
    <w:rsid w:val="00901393"/>
    <w:rsid w:val="009013EA"/>
    <w:rsid w:val="0090256D"/>
    <w:rsid w:val="00904205"/>
    <w:rsid w:val="00906985"/>
    <w:rsid w:val="0090711F"/>
    <w:rsid w:val="00907C77"/>
    <w:rsid w:val="0091058F"/>
    <w:rsid w:val="00911400"/>
    <w:rsid w:val="00911549"/>
    <w:rsid w:val="00911DF0"/>
    <w:rsid w:val="0091243C"/>
    <w:rsid w:val="00912A71"/>
    <w:rsid w:val="0091305C"/>
    <w:rsid w:val="009130D6"/>
    <w:rsid w:val="00913657"/>
    <w:rsid w:val="00915839"/>
    <w:rsid w:val="009163F1"/>
    <w:rsid w:val="009174A4"/>
    <w:rsid w:val="00920279"/>
    <w:rsid w:val="00921757"/>
    <w:rsid w:val="0092237C"/>
    <w:rsid w:val="00922928"/>
    <w:rsid w:val="009232EF"/>
    <w:rsid w:val="009257B4"/>
    <w:rsid w:val="00925E93"/>
    <w:rsid w:val="0092617D"/>
    <w:rsid w:val="00926D4B"/>
    <w:rsid w:val="009277E7"/>
    <w:rsid w:val="00931FA8"/>
    <w:rsid w:val="009320D3"/>
    <w:rsid w:val="00932A88"/>
    <w:rsid w:val="00933367"/>
    <w:rsid w:val="00934467"/>
    <w:rsid w:val="00937AE2"/>
    <w:rsid w:val="0094110B"/>
    <w:rsid w:val="00941DB3"/>
    <w:rsid w:val="009421A7"/>
    <w:rsid w:val="00944E8F"/>
    <w:rsid w:val="0094536A"/>
    <w:rsid w:val="00947145"/>
    <w:rsid w:val="00950E14"/>
    <w:rsid w:val="00951B70"/>
    <w:rsid w:val="00952DE9"/>
    <w:rsid w:val="00953602"/>
    <w:rsid w:val="00954EA2"/>
    <w:rsid w:val="00955566"/>
    <w:rsid w:val="00955A97"/>
    <w:rsid w:val="00955B10"/>
    <w:rsid w:val="009576E0"/>
    <w:rsid w:val="009601E1"/>
    <w:rsid w:val="0096104A"/>
    <w:rsid w:val="00961E0C"/>
    <w:rsid w:val="00961EB2"/>
    <w:rsid w:val="00962F71"/>
    <w:rsid w:val="00963023"/>
    <w:rsid w:val="0096431B"/>
    <w:rsid w:val="009652F7"/>
    <w:rsid w:val="00965DE8"/>
    <w:rsid w:val="0096652F"/>
    <w:rsid w:val="009704B1"/>
    <w:rsid w:val="00970D90"/>
    <w:rsid w:val="00971B05"/>
    <w:rsid w:val="00974A08"/>
    <w:rsid w:val="00974C99"/>
    <w:rsid w:val="00975A40"/>
    <w:rsid w:val="00976D7B"/>
    <w:rsid w:val="0098066B"/>
    <w:rsid w:val="009809A6"/>
    <w:rsid w:val="00982848"/>
    <w:rsid w:val="00983333"/>
    <w:rsid w:val="00983A90"/>
    <w:rsid w:val="00984DC7"/>
    <w:rsid w:val="00986C33"/>
    <w:rsid w:val="00986DAF"/>
    <w:rsid w:val="00987F0E"/>
    <w:rsid w:val="00990AD4"/>
    <w:rsid w:val="00991060"/>
    <w:rsid w:val="009923BF"/>
    <w:rsid w:val="0099376A"/>
    <w:rsid w:val="00994B74"/>
    <w:rsid w:val="00994FE4"/>
    <w:rsid w:val="009956AD"/>
    <w:rsid w:val="00996763"/>
    <w:rsid w:val="009A1576"/>
    <w:rsid w:val="009A1ACC"/>
    <w:rsid w:val="009A3B89"/>
    <w:rsid w:val="009A3CC0"/>
    <w:rsid w:val="009A49D2"/>
    <w:rsid w:val="009A5F40"/>
    <w:rsid w:val="009A7D5D"/>
    <w:rsid w:val="009B00E8"/>
    <w:rsid w:val="009B06D8"/>
    <w:rsid w:val="009B0775"/>
    <w:rsid w:val="009B09B9"/>
    <w:rsid w:val="009B1A23"/>
    <w:rsid w:val="009B2C78"/>
    <w:rsid w:val="009B37E6"/>
    <w:rsid w:val="009B3EDC"/>
    <w:rsid w:val="009B422A"/>
    <w:rsid w:val="009B6CD5"/>
    <w:rsid w:val="009B700D"/>
    <w:rsid w:val="009B7427"/>
    <w:rsid w:val="009C045C"/>
    <w:rsid w:val="009C0E1D"/>
    <w:rsid w:val="009C1BFE"/>
    <w:rsid w:val="009C2793"/>
    <w:rsid w:val="009C49C6"/>
    <w:rsid w:val="009C525B"/>
    <w:rsid w:val="009C5B98"/>
    <w:rsid w:val="009D0C31"/>
    <w:rsid w:val="009D17D6"/>
    <w:rsid w:val="009D1DC3"/>
    <w:rsid w:val="009D2FF6"/>
    <w:rsid w:val="009D33B7"/>
    <w:rsid w:val="009D385D"/>
    <w:rsid w:val="009D39B6"/>
    <w:rsid w:val="009D6526"/>
    <w:rsid w:val="009D656A"/>
    <w:rsid w:val="009D6FAE"/>
    <w:rsid w:val="009D7D2C"/>
    <w:rsid w:val="009D7EF7"/>
    <w:rsid w:val="009E0242"/>
    <w:rsid w:val="009E2CAC"/>
    <w:rsid w:val="009E33F7"/>
    <w:rsid w:val="009E35E9"/>
    <w:rsid w:val="009E4E0F"/>
    <w:rsid w:val="009E6102"/>
    <w:rsid w:val="009E70A8"/>
    <w:rsid w:val="009E7115"/>
    <w:rsid w:val="009E7AF7"/>
    <w:rsid w:val="009E7CCB"/>
    <w:rsid w:val="009E7DB5"/>
    <w:rsid w:val="009F068A"/>
    <w:rsid w:val="009F0694"/>
    <w:rsid w:val="009F087D"/>
    <w:rsid w:val="009F1384"/>
    <w:rsid w:val="009F1393"/>
    <w:rsid w:val="009F2C96"/>
    <w:rsid w:val="009F45E5"/>
    <w:rsid w:val="009F47DE"/>
    <w:rsid w:val="009F5353"/>
    <w:rsid w:val="009F6011"/>
    <w:rsid w:val="009F7EFA"/>
    <w:rsid w:val="00A0326F"/>
    <w:rsid w:val="00A03B75"/>
    <w:rsid w:val="00A042E6"/>
    <w:rsid w:val="00A04B85"/>
    <w:rsid w:val="00A05A07"/>
    <w:rsid w:val="00A071CF"/>
    <w:rsid w:val="00A07B36"/>
    <w:rsid w:val="00A07C8F"/>
    <w:rsid w:val="00A07F1C"/>
    <w:rsid w:val="00A11204"/>
    <w:rsid w:val="00A16812"/>
    <w:rsid w:val="00A2579D"/>
    <w:rsid w:val="00A2679B"/>
    <w:rsid w:val="00A30BAF"/>
    <w:rsid w:val="00A31053"/>
    <w:rsid w:val="00A31D48"/>
    <w:rsid w:val="00A31DAB"/>
    <w:rsid w:val="00A32304"/>
    <w:rsid w:val="00A32F2F"/>
    <w:rsid w:val="00A35D18"/>
    <w:rsid w:val="00A37FCC"/>
    <w:rsid w:val="00A41408"/>
    <w:rsid w:val="00A41853"/>
    <w:rsid w:val="00A44288"/>
    <w:rsid w:val="00A44306"/>
    <w:rsid w:val="00A44A4C"/>
    <w:rsid w:val="00A45759"/>
    <w:rsid w:val="00A505B6"/>
    <w:rsid w:val="00A51DCD"/>
    <w:rsid w:val="00A523C5"/>
    <w:rsid w:val="00A528EF"/>
    <w:rsid w:val="00A52D89"/>
    <w:rsid w:val="00A53381"/>
    <w:rsid w:val="00A53C19"/>
    <w:rsid w:val="00A547E8"/>
    <w:rsid w:val="00A54FE9"/>
    <w:rsid w:val="00A550AE"/>
    <w:rsid w:val="00A574C1"/>
    <w:rsid w:val="00A616F3"/>
    <w:rsid w:val="00A624B1"/>
    <w:rsid w:val="00A66968"/>
    <w:rsid w:val="00A67404"/>
    <w:rsid w:val="00A70214"/>
    <w:rsid w:val="00A70CF9"/>
    <w:rsid w:val="00A733E4"/>
    <w:rsid w:val="00A74794"/>
    <w:rsid w:val="00A7495D"/>
    <w:rsid w:val="00A74C24"/>
    <w:rsid w:val="00A75053"/>
    <w:rsid w:val="00A758CD"/>
    <w:rsid w:val="00A75AE9"/>
    <w:rsid w:val="00A77411"/>
    <w:rsid w:val="00A779D6"/>
    <w:rsid w:val="00A77D37"/>
    <w:rsid w:val="00A830DA"/>
    <w:rsid w:val="00A8321F"/>
    <w:rsid w:val="00A83CB8"/>
    <w:rsid w:val="00A8641E"/>
    <w:rsid w:val="00A874E4"/>
    <w:rsid w:val="00A91290"/>
    <w:rsid w:val="00A9164B"/>
    <w:rsid w:val="00A91E5D"/>
    <w:rsid w:val="00A92B83"/>
    <w:rsid w:val="00A931DB"/>
    <w:rsid w:val="00A9464A"/>
    <w:rsid w:val="00A951CB"/>
    <w:rsid w:val="00A95F31"/>
    <w:rsid w:val="00A978FD"/>
    <w:rsid w:val="00AA04F6"/>
    <w:rsid w:val="00AA1A25"/>
    <w:rsid w:val="00AA2274"/>
    <w:rsid w:val="00AA2B2E"/>
    <w:rsid w:val="00AA37A6"/>
    <w:rsid w:val="00AA4CDD"/>
    <w:rsid w:val="00AA5547"/>
    <w:rsid w:val="00AA67A9"/>
    <w:rsid w:val="00AA6D1C"/>
    <w:rsid w:val="00AB05C3"/>
    <w:rsid w:val="00AB0E52"/>
    <w:rsid w:val="00AB1570"/>
    <w:rsid w:val="00AB16C6"/>
    <w:rsid w:val="00AB2BD0"/>
    <w:rsid w:val="00AB4FC3"/>
    <w:rsid w:val="00AB51AB"/>
    <w:rsid w:val="00AB5955"/>
    <w:rsid w:val="00AB5EE0"/>
    <w:rsid w:val="00AB6C2D"/>
    <w:rsid w:val="00AC0705"/>
    <w:rsid w:val="00AC0EB2"/>
    <w:rsid w:val="00AC2174"/>
    <w:rsid w:val="00AC25B1"/>
    <w:rsid w:val="00AC3049"/>
    <w:rsid w:val="00AC34FF"/>
    <w:rsid w:val="00AC4B37"/>
    <w:rsid w:val="00AC4BC8"/>
    <w:rsid w:val="00AC510F"/>
    <w:rsid w:val="00AC520B"/>
    <w:rsid w:val="00AC54B8"/>
    <w:rsid w:val="00AC5F1E"/>
    <w:rsid w:val="00AC6B3C"/>
    <w:rsid w:val="00AC7066"/>
    <w:rsid w:val="00AC76FB"/>
    <w:rsid w:val="00AC7CCA"/>
    <w:rsid w:val="00AD024F"/>
    <w:rsid w:val="00AD0270"/>
    <w:rsid w:val="00AD18D7"/>
    <w:rsid w:val="00AD2EE6"/>
    <w:rsid w:val="00AD39BB"/>
    <w:rsid w:val="00AD3DE1"/>
    <w:rsid w:val="00AD4B01"/>
    <w:rsid w:val="00AD529A"/>
    <w:rsid w:val="00AD5B17"/>
    <w:rsid w:val="00AD68A7"/>
    <w:rsid w:val="00AD6B7B"/>
    <w:rsid w:val="00AE0AAD"/>
    <w:rsid w:val="00AE145E"/>
    <w:rsid w:val="00AE1A3F"/>
    <w:rsid w:val="00AE3918"/>
    <w:rsid w:val="00AE3A63"/>
    <w:rsid w:val="00AE595E"/>
    <w:rsid w:val="00AE5D6E"/>
    <w:rsid w:val="00AE6E76"/>
    <w:rsid w:val="00AE72EE"/>
    <w:rsid w:val="00AF0A95"/>
    <w:rsid w:val="00AF205D"/>
    <w:rsid w:val="00AF22C1"/>
    <w:rsid w:val="00AF245E"/>
    <w:rsid w:val="00AF3610"/>
    <w:rsid w:val="00AF51CC"/>
    <w:rsid w:val="00B0044C"/>
    <w:rsid w:val="00B01F6D"/>
    <w:rsid w:val="00B04CDB"/>
    <w:rsid w:val="00B05581"/>
    <w:rsid w:val="00B06199"/>
    <w:rsid w:val="00B06635"/>
    <w:rsid w:val="00B067C5"/>
    <w:rsid w:val="00B07D4B"/>
    <w:rsid w:val="00B07EE8"/>
    <w:rsid w:val="00B07FEB"/>
    <w:rsid w:val="00B11434"/>
    <w:rsid w:val="00B119C7"/>
    <w:rsid w:val="00B12628"/>
    <w:rsid w:val="00B12D07"/>
    <w:rsid w:val="00B1333F"/>
    <w:rsid w:val="00B14762"/>
    <w:rsid w:val="00B14C6C"/>
    <w:rsid w:val="00B200C4"/>
    <w:rsid w:val="00B22858"/>
    <w:rsid w:val="00B22DE0"/>
    <w:rsid w:val="00B22E85"/>
    <w:rsid w:val="00B23097"/>
    <w:rsid w:val="00B23608"/>
    <w:rsid w:val="00B243E4"/>
    <w:rsid w:val="00B25E9C"/>
    <w:rsid w:val="00B266F5"/>
    <w:rsid w:val="00B30A7F"/>
    <w:rsid w:val="00B31899"/>
    <w:rsid w:val="00B328F3"/>
    <w:rsid w:val="00B32C33"/>
    <w:rsid w:val="00B34301"/>
    <w:rsid w:val="00B36C04"/>
    <w:rsid w:val="00B4028B"/>
    <w:rsid w:val="00B410C8"/>
    <w:rsid w:val="00B41101"/>
    <w:rsid w:val="00B41607"/>
    <w:rsid w:val="00B422A7"/>
    <w:rsid w:val="00B42BED"/>
    <w:rsid w:val="00B42C80"/>
    <w:rsid w:val="00B43C4F"/>
    <w:rsid w:val="00B43CA6"/>
    <w:rsid w:val="00B4467B"/>
    <w:rsid w:val="00B449ED"/>
    <w:rsid w:val="00B44A18"/>
    <w:rsid w:val="00B452F7"/>
    <w:rsid w:val="00B454A8"/>
    <w:rsid w:val="00B4591A"/>
    <w:rsid w:val="00B47C9A"/>
    <w:rsid w:val="00B51FF5"/>
    <w:rsid w:val="00B5200F"/>
    <w:rsid w:val="00B5375B"/>
    <w:rsid w:val="00B54CCA"/>
    <w:rsid w:val="00B56147"/>
    <w:rsid w:val="00B56778"/>
    <w:rsid w:val="00B56B16"/>
    <w:rsid w:val="00B60B56"/>
    <w:rsid w:val="00B618C0"/>
    <w:rsid w:val="00B61DD7"/>
    <w:rsid w:val="00B63F27"/>
    <w:rsid w:val="00B65D83"/>
    <w:rsid w:val="00B65FB3"/>
    <w:rsid w:val="00B66316"/>
    <w:rsid w:val="00B67D2B"/>
    <w:rsid w:val="00B7027C"/>
    <w:rsid w:val="00B77982"/>
    <w:rsid w:val="00B81BFE"/>
    <w:rsid w:val="00B82C6A"/>
    <w:rsid w:val="00B8418F"/>
    <w:rsid w:val="00B84CC2"/>
    <w:rsid w:val="00B85210"/>
    <w:rsid w:val="00B85421"/>
    <w:rsid w:val="00B86073"/>
    <w:rsid w:val="00B86124"/>
    <w:rsid w:val="00B90022"/>
    <w:rsid w:val="00B92893"/>
    <w:rsid w:val="00B92E2A"/>
    <w:rsid w:val="00B9412F"/>
    <w:rsid w:val="00B94D0D"/>
    <w:rsid w:val="00B9557C"/>
    <w:rsid w:val="00B965C4"/>
    <w:rsid w:val="00BA0A7C"/>
    <w:rsid w:val="00BA1116"/>
    <w:rsid w:val="00BA1B43"/>
    <w:rsid w:val="00BA1B5B"/>
    <w:rsid w:val="00BA20E7"/>
    <w:rsid w:val="00BA3167"/>
    <w:rsid w:val="00BA3B4C"/>
    <w:rsid w:val="00BA3DD6"/>
    <w:rsid w:val="00BA3F23"/>
    <w:rsid w:val="00BA3F40"/>
    <w:rsid w:val="00BA5EB2"/>
    <w:rsid w:val="00BA6C97"/>
    <w:rsid w:val="00BA7E82"/>
    <w:rsid w:val="00BB00DD"/>
    <w:rsid w:val="00BB0577"/>
    <w:rsid w:val="00BB0884"/>
    <w:rsid w:val="00BB0CCD"/>
    <w:rsid w:val="00BB2B27"/>
    <w:rsid w:val="00BB31EE"/>
    <w:rsid w:val="00BB52C2"/>
    <w:rsid w:val="00BB5A4A"/>
    <w:rsid w:val="00BB5AEF"/>
    <w:rsid w:val="00BB63B9"/>
    <w:rsid w:val="00BB7FDA"/>
    <w:rsid w:val="00BC0420"/>
    <w:rsid w:val="00BC04F4"/>
    <w:rsid w:val="00BC121D"/>
    <w:rsid w:val="00BC47D2"/>
    <w:rsid w:val="00BC5CD9"/>
    <w:rsid w:val="00BC65FB"/>
    <w:rsid w:val="00BC77DC"/>
    <w:rsid w:val="00BD069E"/>
    <w:rsid w:val="00BD113B"/>
    <w:rsid w:val="00BD15B0"/>
    <w:rsid w:val="00BD1C66"/>
    <w:rsid w:val="00BD277D"/>
    <w:rsid w:val="00BD4A62"/>
    <w:rsid w:val="00BD57BA"/>
    <w:rsid w:val="00BD6ADA"/>
    <w:rsid w:val="00BE4208"/>
    <w:rsid w:val="00BE583A"/>
    <w:rsid w:val="00BE5B28"/>
    <w:rsid w:val="00BE6C83"/>
    <w:rsid w:val="00BF0913"/>
    <w:rsid w:val="00BF1411"/>
    <w:rsid w:val="00BF28A0"/>
    <w:rsid w:val="00BF4245"/>
    <w:rsid w:val="00BF61BA"/>
    <w:rsid w:val="00BF6E6A"/>
    <w:rsid w:val="00BF6EA4"/>
    <w:rsid w:val="00C0028F"/>
    <w:rsid w:val="00C004FE"/>
    <w:rsid w:val="00C025FC"/>
    <w:rsid w:val="00C02698"/>
    <w:rsid w:val="00C034E2"/>
    <w:rsid w:val="00C0574D"/>
    <w:rsid w:val="00C10145"/>
    <w:rsid w:val="00C10436"/>
    <w:rsid w:val="00C10764"/>
    <w:rsid w:val="00C11784"/>
    <w:rsid w:val="00C153F2"/>
    <w:rsid w:val="00C1706A"/>
    <w:rsid w:val="00C1770F"/>
    <w:rsid w:val="00C206B7"/>
    <w:rsid w:val="00C210FF"/>
    <w:rsid w:val="00C21208"/>
    <w:rsid w:val="00C23730"/>
    <w:rsid w:val="00C253D0"/>
    <w:rsid w:val="00C2541E"/>
    <w:rsid w:val="00C25A50"/>
    <w:rsid w:val="00C25E95"/>
    <w:rsid w:val="00C26192"/>
    <w:rsid w:val="00C264A0"/>
    <w:rsid w:val="00C33362"/>
    <w:rsid w:val="00C34DC5"/>
    <w:rsid w:val="00C36CAA"/>
    <w:rsid w:val="00C36DDE"/>
    <w:rsid w:val="00C4025F"/>
    <w:rsid w:val="00C41260"/>
    <w:rsid w:val="00C421B1"/>
    <w:rsid w:val="00C4248D"/>
    <w:rsid w:val="00C426E2"/>
    <w:rsid w:val="00C44BC5"/>
    <w:rsid w:val="00C45256"/>
    <w:rsid w:val="00C459EB"/>
    <w:rsid w:val="00C45B50"/>
    <w:rsid w:val="00C46C10"/>
    <w:rsid w:val="00C47BE7"/>
    <w:rsid w:val="00C506EB"/>
    <w:rsid w:val="00C50EEB"/>
    <w:rsid w:val="00C51144"/>
    <w:rsid w:val="00C51FF1"/>
    <w:rsid w:val="00C52E26"/>
    <w:rsid w:val="00C53A12"/>
    <w:rsid w:val="00C540DF"/>
    <w:rsid w:val="00C54BC7"/>
    <w:rsid w:val="00C55023"/>
    <w:rsid w:val="00C55C9D"/>
    <w:rsid w:val="00C60932"/>
    <w:rsid w:val="00C6106C"/>
    <w:rsid w:val="00C61730"/>
    <w:rsid w:val="00C62316"/>
    <w:rsid w:val="00C62C16"/>
    <w:rsid w:val="00C63248"/>
    <w:rsid w:val="00C63DCE"/>
    <w:rsid w:val="00C64820"/>
    <w:rsid w:val="00C64D1F"/>
    <w:rsid w:val="00C64E1E"/>
    <w:rsid w:val="00C65F53"/>
    <w:rsid w:val="00C6635C"/>
    <w:rsid w:val="00C67425"/>
    <w:rsid w:val="00C70214"/>
    <w:rsid w:val="00C70374"/>
    <w:rsid w:val="00C71D5D"/>
    <w:rsid w:val="00C73510"/>
    <w:rsid w:val="00C74336"/>
    <w:rsid w:val="00C8231D"/>
    <w:rsid w:val="00C82E26"/>
    <w:rsid w:val="00C83023"/>
    <w:rsid w:val="00C840F5"/>
    <w:rsid w:val="00C84D30"/>
    <w:rsid w:val="00C84D85"/>
    <w:rsid w:val="00C87A4D"/>
    <w:rsid w:val="00C87C5D"/>
    <w:rsid w:val="00C90099"/>
    <w:rsid w:val="00C9225D"/>
    <w:rsid w:val="00C940B6"/>
    <w:rsid w:val="00C949CB"/>
    <w:rsid w:val="00C94B58"/>
    <w:rsid w:val="00C96DF8"/>
    <w:rsid w:val="00C975D8"/>
    <w:rsid w:val="00CA1440"/>
    <w:rsid w:val="00CA217F"/>
    <w:rsid w:val="00CA2270"/>
    <w:rsid w:val="00CA50A6"/>
    <w:rsid w:val="00CB06D9"/>
    <w:rsid w:val="00CB1C99"/>
    <w:rsid w:val="00CB2E8B"/>
    <w:rsid w:val="00CB39E1"/>
    <w:rsid w:val="00CB49F2"/>
    <w:rsid w:val="00CB57FB"/>
    <w:rsid w:val="00CB5852"/>
    <w:rsid w:val="00CB6783"/>
    <w:rsid w:val="00CB7440"/>
    <w:rsid w:val="00CB7AFE"/>
    <w:rsid w:val="00CC20A2"/>
    <w:rsid w:val="00CC2BD9"/>
    <w:rsid w:val="00CC3A45"/>
    <w:rsid w:val="00CC4733"/>
    <w:rsid w:val="00CC5AF3"/>
    <w:rsid w:val="00CC6591"/>
    <w:rsid w:val="00CD06B9"/>
    <w:rsid w:val="00CD0A3F"/>
    <w:rsid w:val="00CD0C83"/>
    <w:rsid w:val="00CD16C5"/>
    <w:rsid w:val="00CD1E1C"/>
    <w:rsid w:val="00CD1E33"/>
    <w:rsid w:val="00CD24AE"/>
    <w:rsid w:val="00CD2847"/>
    <w:rsid w:val="00CD2A40"/>
    <w:rsid w:val="00CD3E5E"/>
    <w:rsid w:val="00CD6755"/>
    <w:rsid w:val="00CD6892"/>
    <w:rsid w:val="00CE01B8"/>
    <w:rsid w:val="00CE0768"/>
    <w:rsid w:val="00CE0E2C"/>
    <w:rsid w:val="00CE357A"/>
    <w:rsid w:val="00CE6402"/>
    <w:rsid w:val="00CE694B"/>
    <w:rsid w:val="00CE70AF"/>
    <w:rsid w:val="00CF099D"/>
    <w:rsid w:val="00CF1754"/>
    <w:rsid w:val="00CF20D1"/>
    <w:rsid w:val="00CF2BBC"/>
    <w:rsid w:val="00CF38AB"/>
    <w:rsid w:val="00CF3BC3"/>
    <w:rsid w:val="00CF4167"/>
    <w:rsid w:val="00CF4471"/>
    <w:rsid w:val="00CF4F29"/>
    <w:rsid w:val="00CF6607"/>
    <w:rsid w:val="00CF691D"/>
    <w:rsid w:val="00CF6D42"/>
    <w:rsid w:val="00D0042C"/>
    <w:rsid w:val="00D00BCD"/>
    <w:rsid w:val="00D00C62"/>
    <w:rsid w:val="00D00EEB"/>
    <w:rsid w:val="00D01368"/>
    <w:rsid w:val="00D01CD8"/>
    <w:rsid w:val="00D03285"/>
    <w:rsid w:val="00D0340E"/>
    <w:rsid w:val="00D034A3"/>
    <w:rsid w:val="00D03595"/>
    <w:rsid w:val="00D03D6B"/>
    <w:rsid w:val="00D04317"/>
    <w:rsid w:val="00D043BF"/>
    <w:rsid w:val="00D047FE"/>
    <w:rsid w:val="00D0494F"/>
    <w:rsid w:val="00D04BB9"/>
    <w:rsid w:val="00D05CC8"/>
    <w:rsid w:val="00D063D2"/>
    <w:rsid w:val="00D073A4"/>
    <w:rsid w:val="00D07A37"/>
    <w:rsid w:val="00D117DB"/>
    <w:rsid w:val="00D134CD"/>
    <w:rsid w:val="00D14130"/>
    <w:rsid w:val="00D14902"/>
    <w:rsid w:val="00D16BB8"/>
    <w:rsid w:val="00D23832"/>
    <w:rsid w:val="00D246BF"/>
    <w:rsid w:val="00D257FF"/>
    <w:rsid w:val="00D26904"/>
    <w:rsid w:val="00D33156"/>
    <w:rsid w:val="00D33982"/>
    <w:rsid w:val="00D33F07"/>
    <w:rsid w:val="00D34C5A"/>
    <w:rsid w:val="00D35719"/>
    <w:rsid w:val="00D37B80"/>
    <w:rsid w:val="00D4013A"/>
    <w:rsid w:val="00D4052D"/>
    <w:rsid w:val="00D405F2"/>
    <w:rsid w:val="00D41E38"/>
    <w:rsid w:val="00D42C6B"/>
    <w:rsid w:val="00D44882"/>
    <w:rsid w:val="00D45066"/>
    <w:rsid w:val="00D45C8F"/>
    <w:rsid w:val="00D47B7E"/>
    <w:rsid w:val="00D47E3B"/>
    <w:rsid w:val="00D526EF"/>
    <w:rsid w:val="00D53062"/>
    <w:rsid w:val="00D5481A"/>
    <w:rsid w:val="00D5496D"/>
    <w:rsid w:val="00D54FF9"/>
    <w:rsid w:val="00D55D62"/>
    <w:rsid w:val="00D5667D"/>
    <w:rsid w:val="00D6054A"/>
    <w:rsid w:val="00D60E0D"/>
    <w:rsid w:val="00D61FA9"/>
    <w:rsid w:val="00D632E0"/>
    <w:rsid w:val="00D63B25"/>
    <w:rsid w:val="00D64B2B"/>
    <w:rsid w:val="00D651F4"/>
    <w:rsid w:val="00D658B4"/>
    <w:rsid w:val="00D6667C"/>
    <w:rsid w:val="00D66D92"/>
    <w:rsid w:val="00D66E99"/>
    <w:rsid w:val="00D67D18"/>
    <w:rsid w:val="00D71970"/>
    <w:rsid w:val="00D72A62"/>
    <w:rsid w:val="00D72D37"/>
    <w:rsid w:val="00D74207"/>
    <w:rsid w:val="00D744F3"/>
    <w:rsid w:val="00D77166"/>
    <w:rsid w:val="00D776EA"/>
    <w:rsid w:val="00D77C37"/>
    <w:rsid w:val="00D81282"/>
    <w:rsid w:val="00D855F2"/>
    <w:rsid w:val="00D87108"/>
    <w:rsid w:val="00D87EE6"/>
    <w:rsid w:val="00D916A6"/>
    <w:rsid w:val="00D91DF8"/>
    <w:rsid w:val="00D92975"/>
    <w:rsid w:val="00D93303"/>
    <w:rsid w:val="00D933D7"/>
    <w:rsid w:val="00D9492E"/>
    <w:rsid w:val="00D94A2A"/>
    <w:rsid w:val="00D95196"/>
    <w:rsid w:val="00D958BA"/>
    <w:rsid w:val="00D962F3"/>
    <w:rsid w:val="00D96CC1"/>
    <w:rsid w:val="00DA1EA0"/>
    <w:rsid w:val="00DA3ADA"/>
    <w:rsid w:val="00DA4008"/>
    <w:rsid w:val="00DA4F18"/>
    <w:rsid w:val="00DA6018"/>
    <w:rsid w:val="00DB1B92"/>
    <w:rsid w:val="00DB24CC"/>
    <w:rsid w:val="00DB496A"/>
    <w:rsid w:val="00DB49C5"/>
    <w:rsid w:val="00DB5C90"/>
    <w:rsid w:val="00DB6F8E"/>
    <w:rsid w:val="00DB7040"/>
    <w:rsid w:val="00DB7308"/>
    <w:rsid w:val="00DB7370"/>
    <w:rsid w:val="00DC02C3"/>
    <w:rsid w:val="00DC0490"/>
    <w:rsid w:val="00DC0EAD"/>
    <w:rsid w:val="00DC22A8"/>
    <w:rsid w:val="00DC2CE6"/>
    <w:rsid w:val="00DC36B8"/>
    <w:rsid w:val="00DC646A"/>
    <w:rsid w:val="00DD28A9"/>
    <w:rsid w:val="00DD2B07"/>
    <w:rsid w:val="00DD3129"/>
    <w:rsid w:val="00DD547D"/>
    <w:rsid w:val="00DD54A8"/>
    <w:rsid w:val="00DD5C77"/>
    <w:rsid w:val="00DD5EBC"/>
    <w:rsid w:val="00DE0A3A"/>
    <w:rsid w:val="00DE0C0C"/>
    <w:rsid w:val="00DE273E"/>
    <w:rsid w:val="00DE362B"/>
    <w:rsid w:val="00DE513B"/>
    <w:rsid w:val="00DE528B"/>
    <w:rsid w:val="00DE54CA"/>
    <w:rsid w:val="00DF2B73"/>
    <w:rsid w:val="00DF3663"/>
    <w:rsid w:val="00DF3A97"/>
    <w:rsid w:val="00DF3E6A"/>
    <w:rsid w:val="00DF4231"/>
    <w:rsid w:val="00DF57C1"/>
    <w:rsid w:val="00DF7888"/>
    <w:rsid w:val="00DF7BC1"/>
    <w:rsid w:val="00E00FB9"/>
    <w:rsid w:val="00E01CC0"/>
    <w:rsid w:val="00E021CF"/>
    <w:rsid w:val="00E02C90"/>
    <w:rsid w:val="00E0314E"/>
    <w:rsid w:val="00E04516"/>
    <w:rsid w:val="00E04BA4"/>
    <w:rsid w:val="00E05DD2"/>
    <w:rsid w:val="00E062A2"/>
    <w:rsid w:val="00E1012D"/>
    <w:rsid w:val="00E1399B"/>
    <w:rsid w:val="00E14CFB"/>
    <w:rsid w:val="00E164EE"/>
    <w:rsid w:val="00E16FAA"/>
    <w:rsid w:val="00E170DF"/>
    <w:rsid w:val="00E1723D"/>
    <w:rsid w:val="00E2084F"/>
    <w:rsid w:val="00E209BA"/>
    <w:rsid w:val="00E212B1"/>
    <w:rsid w:val="00E21FC8"/>
    <w:rsid w:val="00E2266F"/>
    <w:rsid w:val="00E23335"/>
    <w:rsid w:val="00E23482"/>
    <w:rsid w:val="00E2376A"/>
    <w:rsid w:val="00E23DBD"/>
    <w:rsid w:val="00E24E1E"/>
    <w:rsid w:val="00E259BC"/>
    <w:rsid w:val="00E26850"/>
    <w:rsid w:val="00E26F53"/>
    <w:rsid w:val="00E30236"/>
    <w:rsid w:val="00E3108F"/>
    <w:rsid w:val="00E31928"/>
    <w:rsid w:val="00E31CD2"/>
    <w:rsid w:val="00E327E4"/>
    <w:rsid w:val="00E34AAD"/>
    <w:rsid w:val="00E34C59"/>
    <w:rsid w:val="00E35384"/>
    <w:rsid w:val="00E36824"/>
    <w:rsid w:val="00E36BDA"/>
    <w:rsid w:val="00E36C60"/>
    <w:rsid w:val="00E372AE"/>
    <w:rsid w:val="00E37D3F"/>
    <w:rsid w:val="00E37F95"/>
    <w:rsid w:val="00E4097F"/>
    <w:rsid w:val="00E414F2"/>
    <w:rsid w:val="00E41826"/>
    <w:rsid w:val="00E42388"/>
    <w:rsid w:val="00E43612"/>
    <w:rsid w:val="00E445F2"/>
    <w:rsid w:val="00E44659"/>
    <w:rsid w:val="00E44884"/>
    <w:rsid w:val="00E45CAA"/>
    <w:rsid w:val="00E474D2"/>
    <w:rsid w:val="00E507B6"/>
    <w:rsid w:val="00E51E33"/>
    <w:rsid w:val="00E52D3B"/>
    <w:rsid w:val="00E538C3"/>
    <w:rsid w:val="00E53F55"/>
    <w:rsid w:val="00E559F6"/>
    <w:rsid w:val="00E56A9E"/>
    <w:rsid w:val="00E60608"/>
    <w:rsid w:val="00E63A0C"/>
    <w:rsid w:val="00E6508B"/>
    <w:rsid w:val="00E654A5"/>
    <w:rsid w:val="00E65950"/>
    <w:rsid w:val="00E661B9"/>
    <w:rsid w:val="00E67BC0"/>
    <w:rsid w:val="00E702DB"/>
    <w:rsid w:val="00E72CBA"/>
    <w:rsid w:val="00E73147"/>
    <w:rsid w:val="00E73D98"/>
    <w:rsid w:val="00E745E9"/>
    <w:rsid w:val="00E74AF3"/>
    <w:rsid w:val="00E755D9"/>
    <w:rsid w:val="00E75C33"/>
    <w:rsid w:val="00E76306"/>
    <w:rsid w:val="00E76A3E"/>
    <w:rsid w:val="00E809DC"/>
    <w:rsid w:val="00E80DE5"/>
    <w:rsid w:val="00E82A8D"/>
    <w:rsid w:val="00E82F37"/>
    <w:rsid w:val="00E8384D"/>
    <w:rsid w:val="00E84913"/>
    <w:rsid w:val="00E85822"/>
    <w:rsid w:val="00E87323"/>
    <w:rsid w:val="00E9151E"/>
    <w:rsid w:val="00E926FA"/>
    <w:rsid w:val="00E94A18"/>
    <w:rsid w:val="00E94DBB"/>
    <w:rsid w:val="00E9650D"/>
    <w:rsid w:val="00E96755"/>
    <w:rsid w:val="00EA0E61"/>
    <w:rsid w:val="00EA2026"/>
    <w:rsid w:val="00EA2DA6"/>
    <w:rsid w:val="00EA2F6F"/>
    <w:rsid w:val="00EA3BD0"/>
    <w:rsid w:val="00EA4CF0"/>
    <w:rsid w:val="00EB0564"/>
    <w:rsid w:val="00EB084F"/>
    <w:rsid w:val="00EB17BD"/>
    <w:rsid w:val="00EB3393"/>
    <w:rsid w:val="00EB40ED"/>
    <w:rsid w:val="00EB4E58"/>
    <w:rsid w:val="00EB65DB"/>
    <w:rsid w:val="00EB6D91"/>
    <w:rsid w:val="00EB6EA6"/>
    <w:rsid w:val="00EB771D"/>
    <w:rsid w:val="00EC0F81"/>
    <w:rsid w:val="00EC1D26"/>
    <w:rsid w:val="00EC22FE"/>
    <w:rsid w:val="00EC4E6C"/>
    <w:rsid w:val="00EC6555"/>
    <w:rsid w:val="00ED1059"/>
    <w:rsid w:val="00ED1B15"/>
    <w:rsid w:val="00ED1D79"/>
    <w:rsid w:val="00ED3784"/>
    <w:rsid w:val="00ED4952"/>
    <w:rsid w:val="00ED5D16"/>
    <w:rsid w:val="00EE01CD"/>
    <w:rsid w:val="00EE093D"/>
    <w:rsid w:val="00EE0B37"/>
    <w:rsid w:val="00EE45C2"/>
    <w:rsid w:val="00EE59DD"/>
    <w:rsid w:val="00EE6351"/>
    <w:rsid w:val="00EE768B"/>
    <w:rsid w:val="00EF3C4B"/>
    <w:rsid w:val="00EF7300"/>
    <w:rsid w:val="00EF7BC0"/>
    <w:rsid w:val="00F0078F"/>
    <w:rsid w:val="00F009B4"/>
    <w:rsid w:val="00F0116B"/>
    <w:rsid w:val="00F01770"/>
    <w:rsid w:val="00F0195F"/>
    <w:rsid w:val="00F02184"/>
    <w:rsid w:val="00F03534"/>
    <w:rsid w:val="00F03CD8"/>
    <w:rsid w:val="00F04B7B"/>
    <w:rsid w:val="00F05663"/>
    <w:rsid w:val="00F05BD2"/>
    <w:rsid w:val="00F1002E"/>
    <w:rsid w:val="00F11F26"/>
    <w:rsid w:val="00F13502"/>
    <w:rsid w:val="00F13F03"/>
    <w:rsid w:val="00F1607D"/>
    <w:rsid w:val="00F16B0E"/>
    <w:rsid w:val="00F16B54"/>
    <w:rsid w:val="00F17036"/>
    <w:rsid w:val="00F20523"/>
    <w:rsid w:val="00F226E8"/>
    <w:rsid w:val="00F23225"/>
    <w:rsid w:val="00F23C22"/>
    <w:rsid w:val="00F23CFB"/>
    <w:rsid w:val="00F24E61"/>
    <w:rsid w:val="00F2540F"/>
    <w:rsid w:val="00F25E95"/>
    <w:rsid w:val="00F25FDB"/>
    <w:rsid w:val="00F266BC"/>
    <w:rsid w:val="00F26877"/>
    <w:rsid w:val="00F26A5D"/>
    <w:rsid w:val="00F27750"/>
    <w:rsid w:val="00F3083B"/>
    <w:rsid w:val="00F34E30"/>
    <w:rsid w:val="00F372DE"/>
    <w:rsid w:val="00F37920"/>
    <w:rsid w:val="00F379A9"/>
    <w:rsid w:val="00F404E1"/>
    <w:rsid w:val="00F40C6A"/>
    <w:rsid w:val="00F41054"/>
    <w:rsid w:val="00F41661"/>
    <w:rsid w:val="00F44716"/>
    <w:rsid w:val="00F45959"/>
    <w:rsid w:val="00F46052"/>
    <w:rsid w:val="00F46BA2"/>
    <w:rsid w:val="00F4777F"/>
    <w:rsid w:val="00F47C25"/>
    <w:rsid w:val="00F51692"/>
    <w:rsid w:val="00F51EF7"/>
    <w:rsid w:val="00F542B3"/>
    <w:rsid w:val="00F54380"/>
    <w:rsid w:val="00F57969"/>
    <w:rsid w:val="00F60C17"/>
    <w:rsid w:val="00F60C5D"/>
    <w:rsid w:val="00F62D31"/>
    <w:rsid w:val="00F64793"/>
    <w:rsid w:val="00F65F42"/>
    <w:rsid w:val="00F6615E"/>
    <w:rsid w:val="00F708BF"/>
    <w:rsid w:val="00F71121"/>
    <w:rsid w:val="00F7166D"/>
    <w:rsid w:val="00F7222A"/>
    <w:rsid w:val="00F72B7D"/>
    <w:rsid w:val="00F72FBD"/>
    <w:rsid w:val="00F73265"/>
    <w:rsid w:val="00F75D80"/>
    <w:rsid w:val="00F76114"/>
    <w:rsid w:val="00F778DB"/>
    <w:rsid w:val="00F77909"/>
    <w:rsid w:val="00F77DB4"/>
    <w:rsid w:val="00F80026"/>
    <w:rsid w:val="00F81034"/>
    <w:rsid w:val="00F8217A"/>
    <w:rsid w:val="00F823E5"/>
    <w:rsid w:val="00F824C7"/>
    <w:rsid w:val="00F83E93"/>
    <w:rsid w:val="00F8648D"/>
    <w:rsid w:val="00F9259B"/>
    <w:rsid w:val="00F92B51"/>
    <w:rsid w:val="00F94768"/>
    <w:rsid w:val="00F95A7C"/>
    <w:rsid w:val="00F96898"/>
    <w:rsid w:val="00FA033D"/>
    <w:rsid w:val="00FA0441"/>
    <w:rsid w:val="00FA0A0C"/>
    <w:rsid w:val="00FA0ADF"/>
    <w:rsid w:val="00FA159A"/>
    <w:rsid w:val="00FA1EEA"/>
    <w:rsid w:val="00FA1FA4"/>
    <w:rsid w:val="00FA2BFF"/>
    <w:rsid w:val="00FA58D4"/>
    <w:rsid w:val="00FA5988"/>
    <w:rsid w:val="00FA622E"/>
    <w:rsid w:val="00FB04F4"/>
    <w:rsid w:val="00FB0C65"/>
    <w:rsid w:val="00FB0E08"/>
    <w:rsid w:val="00FB23CD"/>
    <w:rsid w:val="00FB2B02"/>
    <w:rsid w:val="00FB2D1C"/>
    <w:rsid w:val="00FB3216"/>
    <w:rsid w:val="00FB3426"/>
    <w:rsid w:val="00FB3F57"/>
    <w:rsid w:val="00FB49C3"/>
    <w:rsid w:val="00FB5871"/>
    <w:rsid w:val="00FC1AB1"/>
    <w:rsid w:val="00FC1D68"/>
    <w:rsid w:val="00FC24C5"/>
    <w:rsid w:val="00FC33A1"/>
    <w:rsid w:val="00FC354A"/>
    <w:rsid w:val="00FC35B6"/>
    <w:rsid w:val="00FC42EA"/>
    <w:rsid w:val="00FC5441"/>
    <w:rsid w:val="00FC7FA2"/>
    <w:rsid w:val="00FD0304"/>
    <w:rsid w:val="00FD092D"/>
    <w:rsid w:val="00FD0F9E"/>
    <w:rsid w:val="00FD1ADD"/>
    <w:rsid w:val="00FD358B"/>
    <w:rsid w:val="00FD46C6"/>
    <w:rsid w:val="00FD7C9B"/>
    <w:rsid w:val="00FE0BEB"/>
    <w:rsid w:val="00FE207D"/>
    <w:rsid w:val="00FE2524"/>
    <w:rsid w:val="00FE33F5"/>
    <w:rsid w:val="00FE3791"/>
    <w:rsid w:val="00FE46D6"/>
    <w:rsid w:val="00FE7B26"/>
    <w:rsid w:val="00FE7BE3"/>
    <w:rsid w:val="00FE7E40"/>
    <w:rsid w:val="00FF0FE7"/>
    <w:rsid w:val="00FF157E"/>
    <w:rsid w:val="00FF1644"/>
    <w:rsid w:val="00FF27A5"/>
    <w:rsid w:val="00FF28C0"/>
    <w:rsid w:val="00FF2C5F"/>
    <w:rsid w:val="00FF2C88"/>
    <w:rsid w:val="00FF44A5"/>
    <w:rsid w:val="00FF4BBD"/>
    <w:rsid w:val="00FF4E8A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1c5,#008cc8,#048cbe,#0092d0"/>
    </o:shapedefaults>
    <o:shapelayout v:ext="edit">
      <o:idmap v:ext="edit" data="1"/>
    </o:shapelayout>
  </w:shapeDefaults>
  <w:decimalSymbol w:val="."/>
  <w:listSeparator w:val=","/>
  <w14:docId w14:val="5FE0F4FF"/>
  <w15:docId w15:val="{41C703A0-7DA0-4EA8-8924-218D597A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0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0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51D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7F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47FE"/>
  </w:style>
  <w:style w:type="paragraph" w:styleId="Footer">
    <w:name w:val="footer"/>
    <w:basedOn w:val="Normal"/>
    <w:link w:val="FooterChar"/>
    <w:uiPriority w:val="99"/>
    <w:unhideWhenUsed/>
    <w:rsid w:val="00D047F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47FE"/>
  </w:style>
  <w:style w:type="paragraph" w:customStyle="1" w:styleId="Paragraphestandard">
    <w:name w:val="[Paragraphe standard]"/>
    <w:basedOn w:val="Normal"/>
    <w:uiPriority w:val="99"/>
    <w:rsid w:val="00355F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55 Helvetica Roman" w:hAnsi="55 Helvetica Roman" w:cs="Times-Roman"/>
      <w:color w:val="000000"/>
      <w:sz w:val="18"/>
    </w:rPr>
  </w:style>
  <w:style w:type="paragraph" w:customStyle="1" w:styleId="TITREPRINCIPAL">
    <w:name w:val="TITRE PRINCIPAL"/>
    <w:autoRedefine/>
    <w:qFormat/>
    <w:rsid w:val="00CB1C99"/>
    <w:pPr>
      <w:spacing w:after="240"/>
      <w:ind w:left="2307" w:right="850"/>
    </w:pPr>
    <w:rPr>
      <w:rFonts w:ascii="Arial Bold" w:hAnsi="Arial Bold" w:cs="HelveticaNeue-Heavy"/>
      <w:b/>
      <w:noProof/>
      <w:color w:val="1F497D" w:themeColor="text2"/>
      <w:kern w:val="26"/>
      <w:sz w:val="26"/>
      <w:szCs w:val="26"/>
      <w:lang w:val="ro-RO" w:eastAsia="fr-FR"/>
    </w:rPr>
  </w:style>
  <w:style w:type="paragraph" w:customStyle="1" w:styleId="TITRESECONDAIRE">
    <w:name w:val="TITRE SECONDAIRE"/>
    <w:basedOn w:val="Paragraphestandard"/>
    <w:autoRedefine/>
    <w:qFormat/>
    <w:rsid w:val="0073331D"/>
    <w:pPr>
      <w:spacing w:after="260" w:line="240" w:lineRule="auto"/>
      <w:ind w:left="1701" w:right="851"/>
    </w:pPr>
    <w:rPr>
      <w:rFonts w:ascii="Arial Bold" w:hAnsi="Arial Bold" w:cs="HelveticaNeue-Heavy"/>
      <w:color w:val="0092D0"/>
      <w:kern w:val="1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5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URANT">
    <w:name w:val="COURANT"/>
    <w:basedOn w:val="Paragraphestandard"/>
    <w:qFormat/>
    <w:rsid w:val="00BA487B"/>
    <w:pPr>
      <w:spacing w:after="240" w:line="240" w:lineRule="exact"/>
      <w:contextualSpacing/>
      <w:jc w:val="both"/>
    </w:pPr>
    <w:rPr>
      <w:rFonts w:ascii="Helvetica" w:hAnsi="Helvetica" w:cs="Helvetica"/>
      <w:color w:val="7F7F7F" w:themeColor="text1" w:themeTint="80"/>
      <w:szCs w:val="18"/>
    </w:rPr>
  </w:style>
  <w:style w:type="character" w:customStyle="1" w:styleId="LIEUDATE">
    <w:name w:val="LIEU/DATE"/>
    <w:basedOn w:val="DefaultParagraphFont"/>
    <w:rsid w:val="003138FC"/>
    <w:rPr>
      <w:b/>
      <w:color w:val="FF6600"/>
      <w:kern w:val="1"/>
    </w:rPr>
  </w:style>
  <w:style w:type="paragraph" w:styleId="BalloonText">
    <w:name w:val="Balloon Text"/>
    <w:basedOn w:val="Normal"/>
    <w:link w:val="BalloonTextChar"/>
    <w:rsid w:val="00A874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505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35056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rsid w:val="00A30BA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651D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03C5B"/>
    <w:pPr>
      <w:spacing w:after="0"/>
      <w:jc w:val="both"/>
    </w:pPr>
    <w:rPr>
      <w:rFonts w:ascii="Arial" w:eastAsia="Times New Roman" w:hAnsi="Arial" w:cs="Times New Roman"/>
      <w:sz w:val="22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803C5B"/>
    <w:rPr>
      <w:rFonts w:ascii="Arial" w:eastAsia="Times New Roman" w:hAnsi="Arial" w:cs="Times New Roman"/>
      <w:sz w:val="22"/>
      <w:szCs w:val="20"/>
      <w:lang w:eastAsia="fr-FR"/>
    </w:rPr>
  </w:style>
  <w:style w:type="character" w:customStyle="1" w:styleId="ms-rtecustom-contenu1">
    <w:name w:val="ms-rtecustom-contenu1"/>
    <w:basedOn w:val="DefaultParagraphFont"/>
    <w:rsid w:val="00803C5B"/>
    <w:rPr>
      <w:rFonts w:ascii="Arial" w:hAnsi="Arial" w:cs="Arial" w:hint="default"/>
      <w:b w:val="0"/>
      <w:bCs w:val="0"/>
      <w:sz w:val="20"/>
      <w:szCs w:val="20"/>
    </w:rPr>
  </w:style>
  <w:style w:type="table" w:styleId="ColorfulGrid-Accent1">
    <w:name w:val="Colorful Grid Accent 1"/>
    <w:basedOn w:val="TableNormal"/>
    <w:rsid w:val="00F23CF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rsid w:val="00F23CF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2-Accent11">
    <w:name w:val="Medium Shading 2 - Accent 11"/>
    <w:basedOn w:val="TableNormal"/>
    <w:rsid w:val="0048556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48556E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rsid w:val="0048556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rsid w:val="0048556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5">
    <w:name w:val="Light Shading Accent 5"/>
    <w:basedOn w:val="TableNormal"/>
    <w:rsid w:val="0048556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rsid w:val="0048556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Shading-Accent1">
    <w:name w:val="Colorful Shading Accent 1"/>
    <w:basedOn w:val="TableNormal"/>
    <w:rsid w:val="0048556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Emphasis">
    <w:name w:val="Emphasis"/>
    <w:uiPriority w:val="20"/>
    <w:qFormat/>
    <w:rsid w:val="002A7CB3"/>
    <w:rPr>
      <w:i/>
      <w:iCs/>
    </w:rPr>
  </w:style>
  <w:style w:type="table" w:styleId="LightGrid-Accent1">
    <w:name w:val="Light Grid Accent 1"/>
    <w:basedOn w:val="TableNormal"/>
    <w:rsid w:val="00542D10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rsid w:val="0034670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D52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7B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E6C8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D03D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haela.mihai@cegedim.com" TargetMode="External"/><Relationship Id="rId18" Type="http://schemas.openxmlformats.org/officeDocument/2006/relationships/image" Target="media/image3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cegedim.com" TargetMode="External"/><Relationship Id="rId17" Type="http://schemas.openxmlformats.org/officeDocument/2006/relationships/hyperlink" Target="https://www.linkedin.com/company/cegedim-romania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gedim-healthcare.ro/stiri-din-sanatat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egedim-Group-229769730844056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ygRlgj65yGG6U2qVAPvS1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de.balleydier@cegedim.f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58EBE7519B943B391D24D4F65A216" ma:contentTypeVersion="1" ma:contentTypeDescription="Create a new document." ma:contentTypeScope="" ma:versionID="8c6b81b3510088c26e6ebc3566468318">
  <xsd:schema xmlns:xsd="http://www.w3.org/2001/XMLSchema" xmlns:p="http://schemas.microsoft.com/office/2006/metadata/properties" xmlns:ns2="0badd07a-403c-447f-8793-351004f68895" targetNamespace="http://schemas.microsoft.com/office/2006/metadata/properties" ma:root="true" ma:fieldsID="190f2865edae7196ce693ffb7dbd03b3" ns2:_="">
    <xsd:import namespace="0badd07a-403c-447f-8793-351004f68895"/>
    <xsd:element name="properties">
      <xsd:complexType>
        <xsd:sequence>
          <xsd:element name="documentManagement">
            <xsd:complexType>
              <xsd:all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badd07a-403c-447f-8793-351004f68895" elementFormDefault="qualified">
    <xsd:import namespace="http://schemas.microsoft.com/office/2006/documentManagement/types"/>
    <xsd:element name="Preview" ma:index="8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view xmlns="0badd07a-403c-447f-8793-351004f68895">
      <Url xsi:nil="true"/>
      <Description xsi:nil="true"/>
    </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B78D-73D5-4698-BC7F-B855AB5F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dd07a-403c-447f-8793-351004f6889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D79EAE-717B-48A8-983E-A8FC8807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55321-971C-4C27-8BE3-F9F6B25ED77C}">
  <ds:schemaRefs>
    <ds:schemaRef ds:uri="http://schemas.microsoft.com/office/2006/metadata/properties"/>
    <ds:schemaRef ds:uri="0badd07a-403c-447f-8793-351004f68895"/>
  </ds:schemaRefs>
</ds:datastoreItem>
</file>

<file path=customXml/itemProps4.xml><?xml version="1.0" encoding="utf-8"?>
<ds:datastoreItem xmlns:ds="http://schemas.openxmlformats.org/officeDocument/2006/customXml" ds:itemID="{190F5264-45E8-4986-9224-4ADDA25F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Cegedim</Company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Mathieu</dc:creator>
  <cp:lastModifiedBy>POPOVICI Alina Lavinia</cp:lastModifiedBy>
  <cp:revision>2</cp:revision>
  <cp:lastPrinted>2025-08-05T12:56:00Z</cp:lastPrinted>
  <dcterms:created xsi:type="dcterms:W3CDTF">2025-08-13T15:36:00Z</dcterms:created>
  <dcterms:modified xsi:type="dcterms:W3CDTF">2025-08-13T15:36:00Z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0x01010073258EBE7519B943B391D24D4F65A216</vt:lpwstr>
  </property>
  <property fmtid="{D5CDD505-2E9C-101B-9397-08002B2CF9AE}" pid="3" name="GrammarlyDocumentId">
    <vt:lpwstr>b959c01501a8b216e8c70485f7f2d7223a9b8a0ed1becd0d1e43777cde5b9ac7</vt:lpwstr>
  </property>
</Properties>
</file>